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25"/>
        <w:gridCol w:w="2325"/>
        <w:gridCol w:w="2325"/>
        <w:gridCol w:w="2325"/>
        <w:gridCol w:w="2325"/>
        <w:gridCol w:w="2325"/>
      </w:tblGrid>
      <w:tr w:rsidR="003D55A6" w14:paraId="2E5996B4" w14:textId="77777777" w:rsidTr="54FCDADF">
        <w:tc>
          <w:tcPr>
            <w:tcW w:w="13950" w:type="dxa"/>
            <w:gridSpan w:val="6"/>
            <w:shd w:val="clear" w:color="auto" w:fill="E2EFD9" w:themeFill="accent6" w:themeFillTint="33"/>
          </w:tcPr>
          <w:p w14:paraId="735210C0" w14:textId="628B4D6F" w:rsidR="003D55A6" w:rsidRDefault="54FCDADF" w:rsidP="00724816">
            <w:bookmarkStart w:id="0" w:name="_GoBack" w:colFirst="0" w:colLast="0"/>
            <w:r>
              <w:t>S</w:t>
            </w:r>
            <w:r w:rsidR="007E27DA">
              <w:t xml:space="preserve">ummary information </w:t>
            </w:r>
            <w:r w:rsidR="005862AA">
              <w:t>(July 2021)</w:t>
            </w:r>
          </w:p>
        </w:tc>
      </w:tr>
      <w:tr w:rsidR="003D55A6" w14:paraId="444147CF" w14:textId="77777777" w:rsidTr="54FCDADF">
        <w:tc>
          <w:tcPr>
            <w:tcW w:w="2325" w:type="dxa"/>
          </w:tcPr>
          <w:p w14:paraId="3DF74218" w14:textId="21F01C16" w:rsidR="003D55A6" w:rsidRDefault="003D55A6">
            <w:r>
              <w:t>School</w:t>
            </w:r>
          </w:p>
        </w:tc>
        <w:tc>
          <w:tcPr>
            <w:tcW w:w="11625" w:type="dxa"/>
            <w:gridSpan w:val="5"/>
          </w:tcPr>
          <w:p w14:paraId="6B62B186" w14:textId="3317876B" w:rsidR="003D55A6" w:rsidRDefault="003D55A6">
            <w:r>
              <w:t>Harting Primary School</w:t>
            </w:r>
          </w:p>
        </w:tc>
      </w:tr>
      <w:tr w:rsidR="003D55A6" w14:paraId="3547A1DC" w14:textId="77777777" w:rsidTr="54FCDADF">
        <w:tc>
          <w:tcPr>
            <w:tcW w:w="2325" w:type="dxa"/>
          </w:tcPr>
          <w:p w14:paraId="176C99DB" w14:textId="06A583F7" w:rsidR="003D55A6" w:rsidRDefault="003D55A6">
            <w:r>
              <w:t>Academic year</w:t>
            </w:r>
          </w:p>
        </w:tc>
        <w:tc>
          <w:tcPr>
            <w:tcW w:w="2325" w:type="dxa"/>
          </w:tcPr>
          <w:p w14:paraId="3C572F3D" w14:textId="0602435A" w:rsidR="003D55A6" w:rsidRDefault="00724816">
            <w:r>
              <w:t>2020-21</w:t>
            </w:r>
          </w:p>
        </w:tc>
        <w:tc>
          <w:tcPr>
            <w:tcW w:w="2325" w:type="dxa"/>
          </w:tcPr>
          <w:p w14:paraId="58E41C40" w14:textId="77777777" w:rsidR="003D55A6" w:rsidRDefault="003D55A6">
            <w:r>
              <w:t>Total PPG budget</w:t>
            </w:r>
          </w:p>
          <w:p w14:paraId="77BC1857" w14:textId="421C996B" w:rsidR="006E400D" w:rsidRPr="006E400D" w:rsidRDefault="006E400D">
            <w:pPr>
              <w:rPr>
                <w:sz w:val="20"/>
                <w:szCs w:val="20"/>
              </w:rPr>
            </w:pPr>
            <w:r w:rsidRPr="006E400D">
              <w:rPr>
                <w:sz w:val="20"/>
                <w:szCs w:val="20"/>
              </w:rPr>
              <w:t>(financial year)</w:t>
            </w:r>
          </w:p>
        </w:tc>
        <w:tc>
          <w:tcPr>
            <w:tcW w:w="2325" w:type="dxa"/>
          </w:tcPr>
          <w:p w14:paraId="05FEB200" w14:textId="011E5FDC" w:rsidR="00D16692" w:rsidRPr="00370A19" w:rsidRDefault="00724816" w:rsidP="54FCDADF">
            <w:r>
              <w:t>£</w:t>
            </w:r>
            <w:r w:rsidR="00B34F83">
              <w:rPr>
                <w:rFonts w:ascii="Calibri" w:hAnsi="Calibri" w:cs="Calibri"/>
                <w:color w:val="201F1E"/>
                <w:sz w:val="22"/>
                <w:szCs w:val="22"/>
                <w:shd w:val="clear" w:color="auto" w:fill="FFFFFF"/>
              </w:rPr>
              <w:t>15,450</w:t>
            </w:r>
          </w:p>
        </w:tc>
        <w:tc>
          <w:tcPr>
            <w:tcW w:w="2325" w:type="dxa"/>
          </w:tcPr>
          <w:p w14:paraId="16FF6F29" w14:textId="57966C14" w:rsidR="003D55A6" w:rsidRDefault="003D55A6">
            <w:r>
              <w:t>Date of recent review</w:t>
            </w:r>
          </w:p>
        </w:tc>
        <w:tc>
          <w:tcPr>
            <w:tcW w:w="2325" w:type="dxa"/>
          </w:tcPr>
          <w:p w14:paraId="3662893F" w14:textId="6A993A36" w:rsidR="00B34F83" w:rsidRDefault="00B61CE9" w:rsidP="00B34F83">
            <w:r>
              <w:t>16.7</w:t>
            </w:r>
            <w:r w:rsidR="00B34F83">
              <w:t>.21</w:t>
            </w:r>
            <w:r w:rsidR="00724816">
              <w:t xml:space="preserve"> </w:t>
            </w:r>
          </w:p>
          <w:p w14:paraId="60584478" w14:textId="5C391D6D" w:rsidR="00724816" w:rsidRDefault="00724816"/>
        </w:tc>
      </w:tr>
      <w:tr w:rsidR="003D55A6" w14:paraId="4EF45355" w14:textId="77777777" w:rsidTr="54FCDADF">
        <w:tc>
          <w:tcPr>
            <w:tcW w:w="2325" w:type="dxa"/>
          </w:tcPr>
          <w:p w14:paraId="18194ED7" w14:textId="0CA5453C" w:rsidR="003D55A6" w:rsidRDefault="003D55A6">
            <w:r>
              <w:t>Total no of students</w:t>
            </w:r>
          </w:p>
        </w:tc>
        <w:tc>
          <w:tcPr>
            <w:tcW w:w="2325" w:type="dxa"/>
          </w:tcPr>
          <w:p w14:paraId="1DF24062" w14:textId="24438A3A" w:rsidR="003D55A6" w:rsidRDefault="00B61CE9" w:rsidP="00B34F83">
            <w:r>
              <w:t>124</w:t>
            </w:r>
          </w:p>
        </w:tc>
        <w:tc>
          <w:tcPr>
            <w:tcW w:w="2325" w:type="dxa"/>
          </w:tcPr>
          <w:p w14:paraId="719CC4DE" w14:textId="7A93D76D" w:rsidR="003D55A6" w:rsidRDefault="003D55A6">
            <w:r>
              <w:t>Number of pupils eligible for PPG</w:t>
            </w:r>
          </w:p>
        </w:tc>
        <w:tc>
          <w:tcPr>
            <w:tcW w:w="2325" w:type="dxa"/>
          </w:tcPr>
          <w:p w14:paraId="5FB88FF7" w14:textId="77777777" w:rsidR="00B34F83" w:rsidRDefault="00B34F83" w:rsidP="54FCDADF">
            <w:r>
              <w:t xml:space="preserve">14 </w:t>
            </w:r>
          </w:p>
          <w:p w14:paraId="53F56210" w14:textId="77777777" w:rsidR="00B34F83" w:rsidRDefault="00B34F83" w:rsidP="54FCDADF">
            <w:pPr>
              <w:rPr>
                <w:sz w:val="16"/>
                <w:szCs w:val="16"/>
              </w:rPr>
            </w:pPr>
            <w:r w:rsidRPr="00B34F83">
              <w:rPr>
                <w:sz w:val="16"/>
                <w:szCs w:val="16"/>
              </w:rPr>
              <w:t xml:space="preserve">(10 pupils on census 10.20, </w:t>
            </w:r>
          </w:p>
          <w:p w14:paraId="26396D9D" w14:textId="7B223E91" w:rsidR="003D55A6" w:rsidRPr="00370A19" w:rsidRDefault="00B34F83" w:rsidP="54FCDADF">
            <w:r w:rsidRPr="00B34F83">
              <w:rPr>
                <w:sz w:val="16"/>
                <w:szCs w:val="16"/>
              </w:rPr>
              <w:t xml:space="preserve">12 </w:t>
            </w:r>
            <w:r>
              <w:rPr>
                <w:sz w:val="16"/>
                <w:szCs w:val="16"/>
              </w:rPr>
              <w:t xml:space="preserve">pupils </w:t>
            </w:r>
            <w:r w:rsidRPr="00B34F83">
              <w:rPr>
                <w:sz w:val="16"/>
                <w:szCs w:val="16"/>
              </w:rPr>
              <w:t>on census 1.21</w:t>
            </w:r>
            <w:r>
              <w:t>)</w:t>
            </w:r>
          </w:p>
        </w:tc>
        <w:tc>
          <w:tcPr>
            <w:tcW w:w="2325" w:type="dxa"/>
          </w:tcPr>
          <w:p w14:paraId="042EE858" w14:textId="5839D342" w:rsidR="003D55A6" w:rsidRDefault="003D55A6">
            <w:r>
              <w:t>Date of next internal review</w:t>
            </w:r>
          </w:p>
        </w:tc>
        <w:tc>
          <w:tcPr>
            <w:tcW w:w="2325" w:type="dxa"/>
          </w:tcPr>
          <w:p w14:paraId="16943650" w14:textId="4D8D660D" w:rsidR="00E60F2C" w:rsidRPr="00B34F83" w:rsidRDefault="00724816" w:rsidP="00B34F83">
            <w:pPr>
              <w:rPr>
                <w:i/>
                <w:color w:val="0070C0"/>
              </w:rPr>
            </w:pPr>
            <w:r w:rsidRPr="00B34F83">
              <w:t xml:space="preserve"> </w:t>
            </w:r>
            <w:r w:rsidR="00967FA5">
              <w:t xml:space="preserve">Autumn </w:t>
            </w:r>
            <w:r w:rsidR="00B34F83" w:rsidRPr="00B34F83">
              <w:t>21</w:t>
            </w:r>
          </w:p>
        </w:tc>
      </w:tr>
      <w:bookmarkEnd w:id="0"/>
    </w:tbl>
    <w:p w14:paraId="090B1A59" w14:textId="3D6A80D7" w:rsidR="004D04B6" w:rsidRDefault="004D04B6"/>
    <w:tbl>
      <w:tblPr>
        <w:tblStyle w:val="TableGrid"/>
        <w:tblW w:w="0" w:type="auto"/>
        <w:tblLook w:val="04A0" w:firstRow="1" w:lastRow="0" w:firstColumn="1" w:lastColumn="0" w:noHBand="0" w:noVBand="1"/>
      </w:tblPr>
      <w:tblGrid>
        <w:gridCol w:w="7338"/>
        <w:gridCol w:w="2268"/>
        <w:gridCol w:w="2126"/>
        <w:gridCol w:w="1711"/>
      </w:tblGrid>
      <w:tr w:rsidR="00EF5600" w:rsidRPr="00914E57" w14:paraId="7694A628" w14:textId="77777777" w:rsidTr="2CF6B6CB">
        <w:tc>
          <w:tcPr>
            <w:tcW w:w="7338" w:type="dxa"/>
            <w:shd w:val="clear" w:color="auto" w:fill="E2EFD9" w:themeFill="accent6" w:themeFillTint="33"/>
          </w:tcPr>
          <w:p w14:paraId="21B16EC2" w14:textId="77777777" w:rsidR="004B3DE6" w:rsidRDefault="00B133B9" w:rsidP="00EF5600">
            <w:r>
              <w:t xml:space="preserve">Y1-6 </w:t>
            </w:r>
            <w:r w:rsidR="007E27DA" w:rsidRPr="0020749C">
              <w:t>pupil progress</w:t>
            </w:r>
            <w:r w:rsidR="00EF5600" w:rsidRPr="0020749C">
              <w:t xml:space="preserve"> review</w:t>
            </w:r>
            <w:r w:rsidR="004B3DE6">
              <w:t xml:space="preserve"> </w:t>
            </w:r>
          </w:p>
          <w:p w14:paraId="3D46E798" w14:textId="4A000118" w:rsidR="00EF5600" w:rsidRPr="004B3DE6" w:rsidRDefault="004B3DE6" w:rsidP="65A6B7D1">
            <w:r>
              <w:t>(based on standardised tests and teacher assessment for writing)</w:t>
            </w:r>
          </w:p>
        </w:tc>
        <w:tc>
          <w:tcPr>
            <w:tcW w:w="2268" w:type="dxa"/>
            <w:shd w:val="clear" w:color="auto" w:fill="E2EFD9" w:themeFill="accent6" w:themeFillTint="33"/>
          </w:tcPr>
          <w:p w14:paraId="642F8876" w14:textId="231FAD4C" w:rsidR="00EF5600" w:rsidRPr="0020749C" w:rsidRDefault="00EF5600" w:rsidP="00BA681C">
            <w:r w:rsidRPr="0020749C">
              <w:t>Pupils eligible for PPG</w:t>
            </w:r>
            <w:r w:rsidR="00215364">
              <w:t xml:space="preserve"> (10 pupils)</w:t>
            </w:r>
          </w:p>
        </w:tc>
        <w:tc>
          <w:tcPr>
            <w:tcW w:w="2126" w:type="dxa"/>
            <w:shd w:val="clear" w:color="auto" w:fill="E2EFD9" w:themeFill="accent6" w:themeFillTint="33"/>
          </w:tcPr>
          <w:p w14:paraId="0E92F355" w14:textId="77777777" w:rsidR="00EF5600" w:rsidRPr="0020749C" w:rsidRDefault="00EF5600" w:rsidP="00BA681C">
            <w:r w:rsidRPr="0020749C">
              <w:t xml:space="preserve">Pupils not eligible for PPG </w:t>
            </w:r>
          </w:p>
        </w:tc>
        <w:tc>
          <w:tcPr>
            <w:tcW w:w="1711" w:type="dxa"/>
            <w:shd w:val="clear" w:color="auto" w:fill="E2EFD9" w:themeFill="accent6" w:themeFillTint="33"/>
          </w:tcPr>
          <w:p w14:paraId="368DBCE6" w14:textId="646744E2" w:rsidR="00EF5600" w:rsidRPr="0020749C" w:rsidRDefault="00EF5600" w:rsidP="00BA681C">
            <w:r>
              <w:t>Gap</w:t>
            </w:r>
            <w:r w:rsidR="3B29F76B">
              <w:t xml:space="preserve"> *</w:t>
            </w:r>
          </w:p>
        </w:tc>
      </w:tr>
      <w:tr w:rsidR="00215364" w:rsidRPr="00914E57" w14:paraId="2BF67F9C" w14:textId="77777777" w:rsidTr="2CF6B6CB">
        <w:tc>
          <w:tcPr>
            <w:tcW w:w="7338" w:type="dxa"/>
          </w:tcPr>
          <w:p w14:paraId="41BE909F" w14:textId="0815FD3C" w:rsidR="00215364" w:rsidRPr="0020749C" w:rsidRDefault="00215364" w:rsidP="00BA681C">
            <w:r w:rsidRPr="0020749C">
              <w:t>% achieving in reading</w:t>
            </w:r>
            <w:r>
              <w:t xml:space="preserve"> </w:t>
            </w:r>
          </w:p>
        </w:tc>
        <w:tc>
          <w:tcPr>
            <w:tcW w:w="2268" w:type="dxa"/>
          </w:tcPr>
          <w:p w14:paraId="4AEBFA38" w14:textId="1C908039" w:rsidR="00215364" w:rsidRPr="0020749C" w:rsidRDefault="00215364" w:rsidP="00EF5600">
            <w:r>
              <w:t>70%</w:t>
            </w:r>
          </w:p>
        </w:tc>
        <w:tc>
          <w:tcPr>
            <w:tcW w:w="2126" w:type="dxa"/>
          </w:tcPr>
          <w:p w14:paraId="59EB1BF2" w14:textId="3FD718F2" w:rsidR="00215364" w:rsidRPr="0020749C" w:rsidRDefault="6820D58F" w:rsidP="00EF5600">
            <w:r>
              <w:t>82%</w:t>
            </w:r>
          </w:p>
        </w:tc>
        <w:tc>
          <w:tcPr>
            <w:tcW w:w="1711" w:type="dxa"/>
          </w:tcPr>
          <w:p w14:paraId="1AEA5CCA" w14:textId="2F9E7E8A" w:rsidR="00215364" w:rsidRPr="0020749C" w:rsidRDefault="6820D58F" w:rsidP="00EF5600">
            <w:r>
              <w:t>-12%</w:t>
            </w:r>
          </w:p>
        </w:tc>
      </w:tr>
      <w:tr w:rsidR="00215364" w:rsidRPr="00914E57" w14:paraId="4D721473" w14:textId="77777777" w:rsidTr="2CF6B6CB">
        <w:tc>
          <w:tcPr>
            <w:tcW w:w="7338" w:type="dxa"/>
          </w:tcPr>
          <w:p w14:paraId="11C774AF" w14:textId="47F45DFF" w:rsidR="00215364" w:rsidRPr="0020749C" w:rsidRDefault="00215364" w:rsidP="00BA681C">
            <w:r w:rsidRPr="0020749C">
              <w:t>% achieving in writing</w:t>
            </w:r>
          </w:p>
        </w:tc>
        <w:tc>
          <w:tcPr>
            <w:tcW w:w="2268" w:type="dxa"/>
          </w:tcPr>
          <w:p w14:paraId="6AB7EDA1" w14:textId="38EF7E9F" w:rsidR="00215364" w:rsidRPr="0020749C" w:rsidRDefault="00215364" w:rsidP="00EF5600">
            <w:r>
              <w:t>30%</w:t>
            </w:r>
          </w:p>
        </w:tc>
        <w:tc>
          <w:tcPr>
            <w:tcW w:w="2126" w:type="dxa"/>
          </w:tcPr>
          <w:p w14:paraId="2D2436B2" w14:textId="7B596EB9" w:rsidR="00215364" w:rsidRPr="0020749C" w:rsidRDefault="248C86E8" w:rsidP="00EF5600">
            <w:r>
              <w:t>74%</w:t>
            </w:r>
          </w:p>
        </w:tc>
        <w:tc>
          <w:tcPr>
            <w:tcW w:w="1711" w:type="dxa"/>
          </w:tcPr>
          <w:p w14:paraId="66C27792" w14:textId="008629CB" w:rsidR="00215364" w:rsidRPr="0020749C" w:rsidRDefault="248C86E8" w:rsidP="00EF5600">
            <w:r>
              <w:t>-44%</w:t>
            </w:r>
          </w:p>
        </w:tc>
      </w:tr>
      <w:tr w:rsidR="00215364" w:rsidRPr="00914E57" w14:paraId="645947B7" w14:textId="77777777" w:rsidTr="2CF6B6CB">
        <w:tc>
          <w:tcPr>
            <w:tcW w:w="7338" w:type="dxa"/>
          </w:tcPr>
          <w:p w14:paraId="5EBBA9F8" w14:textId="13861F57" w:rsidR="00215364" w:rsidRPr="0020749C" w:rsidRDefault="00215364" w:rsidP="00BA681C">
            <w:r w:rsidRPr="0020749C">
              <w:t>% achieving in maths</w:t>
            </w:r>
          </w:p>
        </w:tc>
        <w:tc>
          <w:tcPr>
            <w:tcW w:w="2268" w:type="dxa"/>
          </w:tcPr>
          <w:p w14:paraId="0723926A" w14:textId="06CED279" w:rsidR="00215364" w:rsidRPr="0020749C" w:rsidRDefault="00215364" w:rsidP="00EF5600">
            <w:r>
              <w:t>60%</w:t>
            </w:r>
          </w:p>
        </w:tc>
        <w:tc>
          <w:tcPr>
            <w:tcW w:w="2126" w:type="dxa"/>
          </w:tcPr>
          <w:p w14:paraId="7AB49258" w14:textId="07990197" w:rsidR="00215364" w:rsidRPr="0020749C" w:rsidRDefault="7633E54D" w:rsidP="00EF5600">
            <w:r>
              <w:t>83%</w:t>
            </w:r>
          </w:p>
        </w:tc>
        <w:tc>
          <w:tcPr>
            <w:tcW w:w="1711" w:type="dxa"/>
          </w:tcPr>
          <w:p w14:paraId="18D5FD0B" w14:textId="6428F0AF" w:rsidR="00215364" w:rsidRPr="0020749C" w:rsidRDefault="7633E54D" w:rsidP="00EF5600">
            <w:r>
              <w:t>-23%</w:t>
            </w:r>
          </w:p>
        </w:tc>
      </w:tr>
      <w:tr w:rsidR="00215364" w:rsidRPr="00914E57" w14:paraId="676AE666" w14:textId="77777777" w:rsidTr="2CF6B6CB">
        <w:tc>
          <w:tcPr>
            <w:tcW w:w="7338" w:type="dxa"/>
          </w:tcPr>
          <w:p w14:paraId="1774EDBD" w14:textId="1B262004" w:rsidR="00215364" w:rsidRPr="0020749C" w:rsidRDefault="00215364" w:rsidP="0020749C">
            <w:r w:rsidRPr="0020749C">
              <w:t>% achieving in R, W and M</w:t>
            </w:r>
          </w:p>
        </w:tc>
        <w:tc>
          <w:tcPr>
            <w:tcW w:w="2268" w:type="dxa"/>
          </w:tcPr>
          <w:p w14:paraId="33EFA42F" w14:textId="23A45028" w:rsidR="00215364" w:rsidRPr="0020749C" w:rsidRDefault="00215364" w:rsidP="0020749C">
            <w:r>
              <w:t>20%</w:t>
            </w:r>
          </w:p>
        </w:tc>
        <w:tc>
          <w:tcPr>
            <w:tcW w:w="2126" w:type="dxa"/>
          </w:tcPr>
          <w:p w14:paraId="0B7A70D3" w14:textId="6F40912E" w:rsidR="00215364" w:rsidRPr="0020749C" w:rsidRDefault="21CED458" w:rsidP="0020749C">
            <w:r>
              <w:t>66%</w:t>
            </w:r>
          </w:p>
        </w:tc>
        <w:tc>
          <w:tcPr>
            <w:tcW w:w="1711" w:type="dxa"/>
          </w:tcPr>
          <w:p w14:paraId="767AFDE3" w14:textId="16624FAA" w:rsidR="00215364" w:rsidRPr="0020749C" w:rsidRDefault="21CED458" w:rsidP="0020749C">
            <w:r>
              <w:t>-46%</w:t>
            </w:r>
          </w:p>
        </w:tc>
      </w:tr>
      <w:tr w:rsidR="00304656" w:rsidRPr="00914E57" w14:paraId="238CFB48" w14:textId="77777777" w:rsidTr="2CF6B6CB">
        <w:tc>
          <w:tcPr>
            <w:tcW w:w="13443" w:type="dxa"/>
            <w:gridSpan w:val="4"/>
          </w:tcPr>
          <w:p w14:paraId="755D9E40" w14:textId="00F8CB9E" w:rsidR="00304656" w:rsidRPr="00951048" w:rsidRDefault="00304656" w:rsidP="2CF6B6CB">
            <w:pPr>
              <w:rPr>
                <w:i/>
                <w:iCs/>
              </w:rPr>
            </w:pPr>
            <w:r>
              <w:t xml:space="preserve">Additional information:  </w:t>
            </w:r>
            <w:r w:rsidR="00EE4430" w:rsidRPr="2CF6B6CB">
              <w:rPr>
                <w:i/>
                <w:iCs/>
              </w:rPr>
              <w:t>70% of y1-6 pupils eligible for PPG also on SEND register</w:t>
            </w:r>
            <w:r w:rsidR="25A47039" w:rsidRPr="2CF6B6CB">
              <w:rPr>
                <w:i/>
                <w:iCs/>
              </w:rPr>
              <w:t>. This, combined with small numbers make it statistically invalid to make comparisons.</w:t>
            </w:r>
          </w:p>
        </w:tc>
      </w:tr>
    </w:tbl>
    <w:p w14:paraId="3B07011A" w14:textId="7F64A097" w:rsidR="00EF51DC" w:rsidRPr="00EF51DC" w:rsidRDefault="00EF51DC">
      <w:pPr>
        <w:rPr>
          <w:i/>
          <w:color w:val="FF0000"/>
        </w:rPr>
      </w:pPr>
    </w:p>
    <w:p w14:paraId="33D2CB37" w14:textId="2B470C5D" w:rsidR="004148F1" w:rsidRDefault="004148F1">
      <w:pPr>
        <w:rPr>
          <w:color w:val="FF0000"/>
        </w:rPr>
      </w:pPr>
    </w:p>
    <w:p w14:paraId="3D5078B8" w14:textId="77777777" w:rsidR="00DF6220" w:rsidRPr="00810CB0" w:rsidRDefault="00DF6220">
      <w:pPr>
        <w:rPr>
          <w:color w:val="FF0000"/>
        </w:rPr>
      </w:pPr>
    </w:p>
    <w:tbl>
      <w:tblPr>
        <w:tblStyle w:val="TableGrid"/>
        <w:tblW w:w="0" w:type="auto"/>
        <w:tblLook w:val="04A0" w:firstRow="1" w:lastRow="0" w:firstColumn="1" w:lastColumn="0" w:noHBand="0" w:noVBand="1"/>
      </w:tblPr>
      <w:tblGrid>
        <w:gridCol w:w="1838"/>
        <w:gridCol w:w="1843"/>
        <w:gridCol w:w="5245"/>
        <w:gridCol w:w="3402"/>
        <w:gridCol w:w="1622"/>
      </w:tblGrid>
      <w:tr w:rsidR="00810CB0" w:rsidRPr="00810CB0" w14:paraId="36801C95" w14:textId="77777777" w:rsidTr="54FCDADF">
        <w:tc>
          <w:tcPr>
            <w:tcW w:w="13950" w:type="dxa"/>
            <w:gridSpan w:val="5"/>
            <w:shd w:val="clear" w:color="auto" w:fill="E2EFD9" w:themeFill="accent6" w:themeFillTint="33"/>
          </w:tcPr>
          <w:p w14:paraId="2706448A" w14:textId="10AFD6B3" w:rsidR="00EB7C78" w:rsidRPr="00031382" w:rsidRDefault="00EB7C78" w:rsidP="00EB7C78">
            <w:pPr>
              <w:pStyle w:val="ListParagraph"/>
              <w:numPr>
                <w:ilvl w:val="0"/>
                <w:numId w:val="2"/>
              </w:numPr>
            </w:pPr>
            <w:r w:rsidRPr="00031382">
              <w:t>Previous expenditure</w:t>
            </w:r>
          </w:p>
        </w:tc>
      </w:tr>
      <w:tr w:rsidR="00810CB0" w:rsidRPr="00810CB0" w14:paraId="084DA704" w14:textId="77777777" w:rsidTr="54FCDADF">
        <w:tc>
          <w:tcPr>
            <w:tcW w:w="1838" w:type="dxa"/>
          </w:tcPr>
          <w:p w14:paraId="6BD53E51" w14:textId="77777777" w:rsidR="00EB7C78" w:rsidRPr="00031382" w:rsidRDefault="00EB7C78" w:rsidP="00EB7C78">
            <w:r w:rsidRPr="00031382">
              <w:t>Academic year</w:t>
            </w:r>
          </w:p>
        </w:tc>
        <w:tc>
          <w:tcPr>
            <w:tcW w:w="12112" w:type="dxa"/>
            <w:gridSpan w:val="4"/>
          </w:tcPr>
          <w:p w14:paraId="6EC4A07C" w14:textId="1EECFC3C" w:rsidR="00EB7C78" w:rsidRPr="00031382" w:rsidRDefault="009E6C46" w:rsidP="00EB7C78">
            <w:r w:rsidRPr="00031382">
              <w:t>20</w:t>
            </w:r>
            <w:r w:rsidR="00031382" w:rsidRPr="00031382">
              <w:t>20-21</w:t>
            </w:r>
          </w:p>
        </w:tc>
      </w:tr>
      <w:tr w:rsidR="00810CB0" w:rsidRPr="00810CB0" w14:paraId="5C2864C4" w14:textId="77777777" w:rsidTr="54FCDADF">
        <w:tc>
          <w:tcPr>
            <w:tcW w:w="13950" w:type="dxa"/>
            <w:gridSpan w:val="5"/>
            <w:shd w:val="clear" w:color="auto" w:fill="E2EFD9" w:themeFill="accent6" w:themeFillTint="33"/>
          </w:tcPr>
          <w:p w14:paraId="260D0292" w14:textId="3F2629D3" w:rsidR="00EB7C78" w:rsidRPr="004A737B" w:rsidRDefault="00EB7C78" w:rsidP="00BA681C">
            <w:pPr>
              <w:pStyle w:val="ListParagraph"/>
              <w:numPr>
                <w:ilvl w:val="0"/>
                <w:numId w:val="12"/>
              </w:numPr>
            </w:pPr>
            <w:r w:rsidRPr="004A737B">
              <w:t>Quality of teaching for all</w:t>
            </w:r>
          </w:p>
        </w:tc>
      </w:tr>
      <w:tr w:rsidR="00810CB0" w:rsidRPr="00810CB0" w14:paraId="54A8F865" w14:textId="77777777" w:rsidTr="54FCDADF">
        <w:tc>
          <w:tcPr>
            <w:tcW w:w="1838" w:type="dxa"/>
          </w:tcPr>
          <w:p w14:paraId="14AEA938" w14:textId="77777777" w:rsidR="00EB7C78" w:rsidRPr="004A737B" w:rsidRDefault="00EB7C78" w:rsidP="00EB7C78">
            <w:pPr>
              <w:rPr>
                <w:sz w:val="22"/>
                <w:szCs w:val="22"/>
              </w:rPr>
            </w:pPr>
            <w:r w:rsidRPr="004A737B">
              <w:rPr>
                <w:sz w:val="22"/>
                <w:szCs w:val="22"/>
              </w:rPr>
              <w:t>Desired outcome</w:t>
            </w:r>
          </w:p>
        </w:tc>
        <w:tc>
          <w:tcPr>
            <w:tcW w:w="1843" w:type="dxa"/>
          </w:tcPr>
          <w:p w14:paraId="0B9E800C" w14:textId="77777777" w:rsidR="00EB7C78" w:rsidRPr="004A737B" w:rsidRDefault="00EB7C78" w:rsidP="00EB7C78">
            <w:pPr>
              <w:rPr>
                <w:sz w:val="22"/>
                <w:szCs w:val="22"/>
              </w:rPr>
            </w:pPr>
            <w:r w:rsidRPr="004A737B">
              <w:rPr>
                <w:sz w:val="22"/>
                <w:szCs w:val="22"/>
              </w:rPr>
              <w:t>Action/approach</w:t>
            </w:r>
          </w:p>
        </w:tc>
        <w:tc>
          <w:tcPr>
            <w:tcW w:w="5245" w:type="dxa"/>
          </w:tcPr>
          <w:p w14:paraId="5AA2F066" w14:textId="28B6C0F4" w:rsidR="00EB7C78" w:rsidRPr="004A737B" w:rsidRDefault="00EB7C78" w:rsidP="00EB7C78">
            <w:pPr>
              <w:rPr>
                <w:sz w:val="22"/>
                <w:szCs w:val="22"/>
              </w:rPr>
            </w:pPr>
            <w:r w:rsidRPr="004A737B">
              <w:rPr>
                <w:sz w:val="22"/>
                <w:szCs w:val="22"/>
              </w:rPr>
              <w:t>Impact</w:t>
            </w:r>
          </w:p>
        </w:tc>
        <w:tc>
          <w:tcPr>
            <w:tcW w:w="5024" w:type="dxa"/>
            <w:gridSpan w:val="2"/>
          </w:tcPr>
          <w:p w14:paraId="3134E103" w14:textId="7B4B9DCD" w:rsidR="00EB7C78" w:rsidRPr="004A737B" w:rsidRDefault="00EB7C78" w:rsidP="00EB7C78">
            <w:r w:rsidRPr="004A737B">
              <w:rPr>
                <w:sz w:val="22"/>
                <w:szCs w:val="22"/>
              </w:rPr>
              <w:t>Lessons learned</w:t>
            </w:r>
          </w:p>
        </w:tc>
      </w:tr>
      <w:tr w:rsidR="00031382" w:rsidRPr="00810CB0" w14:paraId="07DB58AF" w14:textId="77777777" w:rsidTr="54FCDADF">
        <w:tc>
          <w:tcPr>
            <w:tcW w:w="1838" w:type="dxa"/>
          </w:tcPr>
          <w:p w14:paraId="714E1F64" w14:textId="77777777" w:rsidR="00031382" w:rsidRPr="009E6C46" w:rsidRDefault="00031382" w:rsidP="00031382">
            <w:pPr>
              <w:rPr>
                <w:color w:val="FF0000"/>
                <w:sz w:val="22"/>
                <w:szCs w:val="22"/>
              </w:rPr>
            </w:pPr>
            <w:r w:rsidRPr="004A737B">
              <w:rPr>
                <w:sz w:val="22"/>
                <w:szCs w:val="22"/>
              </w:rPr>
              <w:t>a.Good progress in all subjects</w:t>
            </w:r>
          </w:p>
        </w:tc>
        <w:tc>
          <w:tcPr>
            <w:tcW w:w="1843" w:type="dxa"/>
          </w:tcPr>
          <w:p w14:paraId="2BC7C8CD" w14:textId="77777777" w:rsidR="00031382" w:rsidRPr="004A737B" w:rsidRDefault="00031382" w:rsidP="00031382">
            <w:pPr>
              <w:rPr>
                <w:sz w:val="22"/>
                <w:szCs w:val="22"/>
              </w:rPr>
            </w:pPr>
            <w:r w:rsidRPr="004A737B">
              <w:rPr>
                <w:sz w:val="22"/>
                <w:szCs w:val="22"/>
              </w:rPr>
              <w:t xml:space="preserve">CPD: </w:t>
            </w:r>
          </w:p>
          <w:p w14:paraId="2A6F3A2A" w14:textId="2A7B6C5C" w:rsidR="00031382" w:rsidRPr="004A737B" w:rsidRDefault="00031382" w:rsidP="00031382">
            <w:pPr>
              <w:rPr>
                <w:sz w:val="22"/>
                <w:szCs w:val="22"/>
              </w:rPr>
            </w:pPr>
            <w:r w:rsidRPr="004A737B">
              <w:rPr>
                <w:sz w:val="22"/>
                <w:szCs w:val="22"/>
              </w:rPr>
              <w:t>- inset reviews of PSHE curriculum (E4S)</w:t>
            </w:r>
          </w:p>
          <w:p w14:paraId="5BF8CBB4" w14:textId="77777777" w:rsidR="004A737B" w:rsidRPr="004A737B" w:rsidRDefault="004A737B" w:rsidP="00031382">
            <w:pPr>
              <w:rPr>
                <w:sz w:val="22"/>
                <w:szCs w:val="22"/>
              </w:rPr>
            </w:pPr>
          </w:p>
          <w:p w14:paraId="081720FF" w14:textId="77777777" w:rsidR="00031382" w:rsidRPr="004A737B" w:rsidRDefault="00031382" w:rsidP="00031382">
            <w:pPr>
              <w:rPr>
                <w:sz w:val="22"/>
                <w:szCs w:val="22"/>
              </w:rPr>
            </w:pPr>
            <w:r w:rsidRPr="004A737B">
              <w:rPr>
                <w:sz w:val="22"/>
                <w:szCs w:val="22"/>
              </w:rPr>
              <w:t>- review of school writing protocol</w:t>
            </w:r>
          </w:p>
          <w:p w14:paraId="7A5991E7" w14:textId="77777777" w:rsidR="00031382" w:rsidRPr="004A737B" w:rsidRDefault="00031382" w:rsidP="00031382">
            <w:pPr>
              <w:rPr>
                <w:sz w:val="22"/>
                <w:szCs w:val="22"/>
              </w:rPr>
            </w:pPr>
          </w:p>
          <w:p w14:paraId="60A50DE0" w14:textId="593F3EC2" w:rsidR="00031382" w:rsidRPr="004A737B" w:rsidRDefault="00031382" w:rsidP="00031382">
            <w:pPr>
              <w:rPr>
                <w:sz w:val="22"/>
                <w:szCs w:val="22"/>
              </w:rPr>
            </w:pPr>
            <w:r w:rsidRPr="004A737B">
              <w:rPr>
                <w:sz w:val="22"/>
                <w:szCs w:val="22"/>
              </w:rPr>
              <w:t>- ongoing supervision by EP (ELSA training)</w:t>
            </w:r>
          </w:p>
        </w:tc>
        <w:tc>
          <w:tcPr>
            <w:tcW w:w="5245" w:type="dxa"/>
          </w:tcPr>
          <w:p w14:paraId="0761FFEB" w14:textId="77777777" w:rsidR="00031382" w:rsidRPr="004A737B" w:rsidRDefault="00031382" w:rsidP="00031382">
            <w:pPr>
              <w:rPr>
                <w:sz w:val="22"/>
                <w:szCs w:val="22"/>
              </w:rPr>
            </w:pPr>
          </w:p>
          <w:p w14:paraId="36C0EAFF" w14:textId="093D11CA" w:rsidR="00031382" w:rsidRPr="004A737B" w:rsidRDefault="00031382" w:rsidP="00031382">
            <w:pPr>
              <w:rPr>
                <w:sz w:val="22"/>
                <w:szCs w:val="22"/>
              </w:rPr>
            </w:pPr>
            <w:r w:rsidRPr="004A737B">
              <w:rPr>
                <w:sz w:val="22"/>
                <w:szCs w:val="22"/>
              </w:rPr>
              <w:t>Keeping safe curriculum will enable teachers to plan RSE and PSHE effectively:</w:t>
            </w:r>
            <w:r w:rsidR="004A737B" w:rsidRPr="004A737B">
              <w:rPr>
                <w:sz w:val="22"/>
                <w:szCs w:val="22"/>
              </w:rPr>
              <w:t xml:space="preserve"> route map revision influenced provision</w:t>
            </w:r>
          </w:p>
          <w:p w14:paraId="1087EC88" w14:textId="0677216B" w:rsidR="00031382" w:rsidRPr="004A737B" w:rsidRDefault="00031382" w:rsidP="00031382">
            <w:pPr>
              <w:rPr>
                <w:sz w:val="22"/>
                <w:szCs w:val="22"/>
              </w:rPr>
            </w:pPr>
          </w:p>
          <w:p w14:paraId="4989D3E1" w14:textId="3AF58040" w:rsidR="00031382" w:rsidRPr="004A737B" w:rsidRDefault="004A737B" w:rsidP="00031382">
            <w:pPr>
              <w:rPr>
                <w:sz w:val="22"/>
                <w:szCs w:val="22"/>
              </w:rPr>
            </w:pPr>
            <w:r w:rsidRPr="004A737B">
              <w:rPr>
                <w:sz w:val="22"/>
                <w:szCs w:val="22"/>
              </w:rPr>
              <w:t>Impact of absences due to first lockdown for some children has affected outcomes.  Proportion of pupils with SEND in group affects literacy skills</w:t>
            </w:r>
          </w:p>
          <w:p w14:paraId="47923A9A" w14:textId="77777777" w:rsidR="00031382" w:rsidRPr="004A737B" w:rsidRDefault="00031382" w:rsidP="00031382">
            <w:pPr>
              <w:rPr>
                <w:sz w:val="22"/>
                <w:szCs w:val="22"/>
              </w:rPr>
            </w:pPr>
          </w:p>
          <w:p w14:paraId="4FDEF3F2" w14:textId="77777777" w:rsidR="00031382" w:rsidRPr="004A737B" w:rsidRDefault="00031382" w:rsidP="00031382">
            <w:pPr>
              <w:rPr>
                <w:sz w:val="22"/>
                <w:szCs w:val="22"/>
              </w:rPr>
            </w:pPr>
          </w:p>
          <w:p w14:paraId="37122F87" w14:textId="5B0AA46E" w:rsidR="00031382" w:rsidRPr="004A737B" w:rsidRDefault="00031382" w:rsidP="004A737B">
            <w:pPr>
              <w:rPr>
                <w:sz w:val="22"/>
                <w:szCs w:val="22"/>
              </w:rPr>
            </w:pPr>
            <w:r w:rsidRPr="004A737B">
              <w:rPr>
                <w:sz w:val="22"/>
                <w:szCs w:val="22"/>
              </w:rPr>
              <w:t>ELSA supportin</w:t>
            </w:r>
            <w:r w:rsidR="004A737B" w:rsidRPr="004A737B">
              <w:rPr>
                <w:sz w:val="22"/>
                <w:szCs w:val="22"/>
              </w:rPr>
              <w:t>g emotional needs improves attendance and access to the curriculum</w:t>
            </w:r>
          </w:p>
        </w:tc>
        <w:tc>
          <w:tcPr>
            <w:tcW w:w="5024" w:type="dxa"/>
            <w:gridSpan w:val="2"/>
          </w:tcPr>
          <w:p w14:paraId="4BCBDC05" w14:textId="77777777" w:rsidR="004A737B" w:rsidRPr="004A737B" w:rsidRDefault="004A737B" w:rsidP="00031382">
            <w:pPr>
              <w:rPr>
                <w:sz w:val="22"/>
                <w:szCs w:val="22"/>
              </w:rPr>
            </w:pPr>
          </w:p>
          <w:p w14:paraId="31172BE3" w14:textId="4E762D54" w:rsidR="00031382" w:rsidRPr="004A737B" w:rsidRDefault="004A737B" w:rsidP="00031382">
            <w:pPr>
              <w:rPr>
                <w:sz w:val="22"/>
                <w:szCs w:val="22"/>
              </w:rPr>
            </w:pPr>
            <w:r w:rsidRPr="004A737B">
              <w:rPr>
                <w:sz w:val="22"/>
                <w:szCs w:val="22"/>
              </w:rPr>
              <w:t xml:space="preserve">RSHE central to return following lockdowns to support children’s emotional well-being.  SRE for two years’ curriculum to avoid gaps in children’s knowledge </w:t>
            </w:r>
          </w:p>
          <w:p w14:paraId="3DBCBE8E" w14:textId="35CC01DE" w:rsidR="00031382" w:rsidRPr="004A737B" w:rsidRDefault="004A737B" w:rsidP="00031382">
            <w:pPr>
              <w:rPr>
                <w:sz w:val="22"/>
                <w:szCs w:val="22"/>
              </w:rPr>
            </w:pPr>
            <w:r w:rsidRPr="004A737B">
              <w:rPr>
                <w:sz w:val="22"/>
                <w:szCs w:val="22"/>
              </w:rPr>
              <w:t xml:space="preserve">Further evaluation needed </w:t>
            </w:r>
          </w:p>
          <w:p w14:paraId="4460C752" w14:textId="77777777" w:rsidR="00031382" w:rsidRPr="004A737B" w:rsidRDefault="00031382" w:rsidP="00031382">
            <w:pPr>
              <w:rPr>
                <w:sz w:val="22"/>
                <w:szCs w:val="22"/>
              </w:rPr>
            </w:pPr>
          </w:p>
          <w:p w14:paraId="5C53F3DD" w14:textId="7A1087BB" w:rsidR="00031382" w:rsidRPr="004A737B" w:rsidRDefault="00031382" w:rsidP="00031382">
            <w:pPr>
              <w:rPr>
                <w:sz w:val="22"/>
                <w:szCs w:val="22"/>
              </w:rPr>
            </w:pPr>
          </w:p>
          <w:p w14:paraId="67341A6D" w14:textId="77777777" w:rsidR="004A737B" w:rsidRPr="004A737B" w:rsidRDefault="004A737B" w:rsidP="00031382">
            <w:pPr>
              <w:rPr>
                <w:sz w:val="22"/>
                <w:szCs w:val="22"/>
              </w:rPr>
            </w:pPr>
          </w:p>
          <w:p w14:paraId="747356F1" w14:textId="02670196" w:rsidR="00031382" w:rsidRPr="004A737B" w:rsidRDefault="004A737B" w:rsidP="00031382">
            <w:pPr>
              <w:rPr>
                <w:sz w:val="22"/>
                <w:szCs w:val="22"/>
              </w:rPr>
            </w:pPr>
            <w:r w:rsidRPr="004A737B">
              <w:rPr>
                <w:sz w:val="22"/>
                <w:szCs w:val="22"/>
              </w:rPr>
              <w:t>Improved</w:t>
            </w:r>
            <w:r w:rsidR="00031382" w:rsidRPr="004A737B">
              <w:rPr>
                <w:sz w:val="22"/>
                <w:szCs w:val="22"/>
              </w:rPr>
              <w:t xml:space="preserve"> management of dysregulated behaviour</w:t>
            </w:r>
            <w:r w:rsidRPr="004A737B">
              <w:rPr>
                <w:sz w:val="22"/>
                <w:szCs w:val="22"/>
              </w:rPr>
              <w:t xml:space="preserve"> across school.</w:t>
            </w:r>
            <w:r w:rsidR="00031382" w:rsidRPr="004A737B">
              <w:rPr>
                <w:sz w:val="22"/>
                <w:szCs w:val="22"/>
              </w:rPr>
              <w:t xml:space="preserve">  Staff better able to determine if the behaviour is due to fear and significantly greater level of independent</w:t>
            </w:r>
            <w:r w:rsidRPr="004A737B">
              <w:rPr>
                <w:sz w:val="22"/>
                <w:szCs w:val="22"/>
              </w:rPr>
              <w:t xml:space="preserve"> learning and engagement by several </w:t>
            </w:r>
            <w:r w:rsidR="00031382" w:rsidRPr="004A737B">
              <w:rPr>
                <w:sz w:val="22"/>
                <w:szCs w:val="22"/>
              </w:rPr>
              <w:t>pupil</w:t>
            </w:r>
            <w:r w:rsidRPr="004A737B">
              <w:rPr>
                <w:sz w:val="22"/>
                <w:szCs w:val="22"/>
              </w:rPr>
              <w:t>s</w:t>
            </w:r>
            <w:r w:rsidR="00031382" w:rsidRPr="004A737B">
              <w:rPr>
                <w:sz w:val="22"/>
                <w:szCs w:val="22"/>
              </w:rPr>
              <w:t xml:space="preserve"> </w:t>
            </w:r>
          </w:p>
        </w:tc>
      </w:tr>
      <w:tr w:rsidR="00B43C7E" w:rsidRPr="00810CB0" w14:paraId="68B48720" w14:textId="77777777" w:rsidTr="54FCDADF">
        <w:tc>
          <w:tcPr>
            <w:tcW w:w="1838" w:type="dxa"/>
          </w:tcPr>
          <w:p w14:paraId="6A2CFCB2" w14:textId="7CD1969E" w:rsidR="00B43C7E" w:rsidRPr="00B43C7E" w:rsidRDefault="00B43C7E" w:rsidP="00B43C7E">
            <w:pPr>
              <w:rPr>
                <w:sz w:val="22"/>
                <w:szCs w:val="22"/>
              </w:rPr>
            </w:pPr>
            <w:r w:rsidRPr="00B43C7E">
              <w:rPr>
                <w:sz w:val="22"/>
                <w:szCs w:val="22"/>
              </w:rPr>
              <w:t>b Improve maths learning and progress</w:t>
            </w:r>
          </w:p>
        </w:tc>
        <w:tc>
          <w:tcPr>
            <w:tcW w:w="1843" w:type="dxa"/>
          </w:tcPr>
          <w:p w14:paraId="32DDC9C4" w14:textId="77777777" w:rsidR="00B43C7E" w:rsidRPr="00B43C7E" w:rsidRDefault="00B43C7E" w:rsidP="00B43C7E">
            <w:pPr>
              <w:rPr>
                <w:sz w:val="22"/>
                <w:szCs w:val="22"/>
              </w:rPr>
            </w:pPr>
            <w:r w:rsidRPr="00B43C7E">
              <w:rPr>
                <w:sz w:val="22"/>
                <w:szCs w:val="22"/>
              </w:rPr>
              <w:t>Provide support:</w:t>
            </w:r>
          </w:p>
          <w:p w14:paraId="5AE720E3" w14:textId="01922F83" w:rsidR="00B43C7E" w:rsidRPr="00B43C7E" w:rsidRDefault="00B43C7E" w:rsidP="00B43C7E">
            <w:pPr>
              <w:rPr>
                <w:sz w:val="22"/>
                <w:szCs w:val="22"/>
              </w:rPr>
            </w:pPr>
            <w:r w:rsidRPr="00B43C7E">
              <w:rPr>
                <w:sz w:val="22"/>
                <w:szCs w:val="22"/>
              </w:rPr>
              <w:t>1:1/small groups in class pre/post-learning</w:t>
            </w:r>
          </w:p>
        </w:tc>
        <w:tc>
          <w:tcPr>
            <w:tcW w:w="5245" w:type="dxa"/>
          </w:tcPr>
          <w:p w14:paraId="6FE597B4" w14:textId="6E267563" w:rsidR="00B43C7E" w:rsidRPr="00B43C7E" w:rsidRDefault="00B43C7E" w:rsidP="00B43C7E">
            <w:pPr>
              <w:rPr>
                <w:sz w:val="22"/>
                <w:szCs w:val="22"/>
              </w:rPr>
            </w:pPr>
            <w:r w:rsidRPr="00B43C7E">
              <w:rPr>
                <w:sz w:val="22"/>
                <w:szCs w:val="22"/>
              </w:rPr>
              <w:t>Small group support has helped confidence with improved outcomes for group</w:t>
            </w:r>
          </w:p>
        </w:tc>
        <w:tc>
          <w:tcPr>
            <w:tcW w:w="5024" w:type="dxa"/>
            <w:gridSpan w:val="2"/>
          </w:tcPr>
          <w:p w14:paraId="35F1DAA1" w14:textId="77777777" w:rsidR="00B43C7E" w:rsidRDefault="00B43C7E" w:rsidP="00B43C7E">
            <w:pPr>
              <w:rPr>
                <w:sz w:val="22"/>
                <w:szCs w:val="22"/>
              </w:rPr>
            </w:pPr>
            <w:r w:rsidRPr="00B43C7E">
              <w:rPr>
                <w:sz w:val="22"/>
                <w:szCs w:val="22"/>
              </w:rPr>
              <w:t>Small groups during lockdown provided high levels of support</w:t>
            </w:r>
          </w:p>
          <w:p w14:paraId="55F9BC2A" w14:textId="349F5039" w:rsidR="00B43C7E" w:rsidRPr="00B43C7E" w:rsidRDefault="00B43C7E" w:rsidP="00B43C7E">
            <w:pPr>
              <w:rPr>
                <w:sz w:val="22"/>
                <w:szCs w:val="22"/>
              </w:rPr>
            </w:pPr>
            <w:r>
              <w:rPr>
                <w:sz w:val="22"/>
                <w:szCs w:val="22"/>
              </w:rPr>
              <w:t>Pupils with SEND needed plenty of repetition and the use of ‘ready to progress’ document needs to be evaluated in Autumn 2021</w:t>
            </w:r>
          </w:p>
        </w:tc>
      </w:tr>
      <w:tr w:rsidR="00B43C7E" w:rsidRPr="00810CB0" w14:paraId="73C9BF3D" w14:textId="77777777" w:rsidTr="54FCDADF">
        <w:tc>
          <w:tcPr>
            <w:tcW w:w="1838" w:type="dxa"/>
            <w:vMerge w:val="restart"/>
          </w:tcPr>
          <w:p w14:paraId="71BCC493" w14:textId="1FF80EAD" w:rsidR="00B43C7E" w:rsidRDefault="00B43C7E" w:rsidP="00B43C7E">
            <w:pPr>
              <w:rPr>
                <w:sz w:val="22"/>
                <w:szCs w:val="22"/>
              </w:rPr>
            </w:pPr>
            <w:r w:rsidRPr="008E60C0">
              <w:rPr>
                <w:sz w:val="22"/>
                <w:szCs w:val="22"/>
              </w:rPr>
              <w:t>3. Develop literacy skills and increase  vocabulary  and knowledge</w:t>
            </w:r>
          </w:p>
        </w:tc>
        <w:tc>
          <w:tcPr>
            <w:tcW w:w="1843" w:type="dxa"/>
          </w:tcPr>
          <w:p w14:paraId="71CE2CC4" w14:textId="71F73768" w:rsidR="00B43C7E" w:rsidRPr="00B43C7E" w:rsidRDefault="00B43C7E" w:rsidP="00B43C7E">
            <w:pPr>
              <w:rPr>
                <w:sz w:val="22"/>
                <w:szCs w:val="22"/>
              </w:rPr>
            </w:pPr>
            <w:r w:rsidRPr="00B43C7E">
              <w:rPr>
                <w:sz w:val="22"/>
                <w:szCs w:val="22"/>
              </w:rPr>
              <w:t>Additional reading conferences</w:t>
            </w:r>
          </w:p>
        </w:tc>
        <w:tc>
          <w:tcPr>
            <w:tcW w:w="5245" w:type="dxa"/>
          </w:tcPr>
          <w:p w14:paraId="0D9854AA" w14:textId="5C7EEE02" w:rsidR="00B43C7E" w:rsidRPr="00B43C7E" w:rsidRDefault="00B43C7E" w:rsidP="00B43C7E">
            <w:pPr>
              <w:rPr>
                <w:sz w:val="22"/>
                <w:szCs w:val="22"/>
              </w:rPr>
            </w:pPr>
            <w:r w:rsidRPr="00B43C7E">
              <w:rPr>
                <w:sz w:val="22"/>
                <w:szCs w:val="22"/>
              </w:rPr>
              <w:t>Regular review of reading and additional support by trained volunteers and TAs enhanced outcomes</w:t>
            </w:r>
          </w:p>
        </w:tc>
        <w:tc>
          <w:tcPr>
            <w:tcW w:w="5024" w:type="dxa"/>
            <w:gridSpan w:val="2"/>
          </w:tcPr>
          <w:p w14:paraId="0382B52D" w14:textId="6AC9ED43" w:rsidR="00B43C7E" w:rsidRPr="00B43C7E" w:rsidRDefault="00B43C7E" w:rsidP="00B43C7E">
            <w:pPr>
              <w:rPr>
                <w:sz w:val="22"/>
                <w:szCs w:val="22"/>
              </w:rPr>
            </w:pPr>
            <w:r w:rsidRPr="00B43C7E">
              <w:rPr>
                <w:sz w:val="22"/>
                <w:szCs w:val="22"/>
              </w:rPr>
              <w:t>Frequent practice improved outcomes and knowledge</w:t>
            </w:r>
          </w:p>
          <w:p w14:paraId="27F4C22B" w14:textId="305D39E4" w:rsidR="00B43C7E" w:rsidRPr="00B43C7E" w:rsidRDefault="00B43C7E" w:rsidP="00B43C7E">
            <w:pPr>
              <w:rPr>
                <w:sz w:val="22"/>
                <w:szCs w:val="22"/>
              </w:rPr>
            </w:pPr>
          </w:p>
        </w:tc>
      </w:tr>
      <w:tr w:rsidR="00B43C7E" w:rsidRPr="00810CB0" w14:paraId="2DBBDE46" w14:textId="77777777" w:rsidTr="54FCDADF">
        <w:tc>
          <w:tcPr>
            <w:tcW w:w="1838" w:type="dxa"/>
            <w:vMerge/>
          </w:tcPr>
          <w:p w14:paraId="0A8B97E3" w14:textId="0BE2AA8B" w:rsidR="00B43C7E" w:rsidRDefault="00B43C7E" w:rsidP="00B43C7E">
            <w:pPr>
              <w:rPr>
                <w:sz w:val="22"/>
                <w:szCs w:val="22"/>
              </w:rPr>
            </w:pPr>
          </w:p>
        </w:tc>
        <w:tc>
          <w:tcPr>
            <w:tcW w:w="1843" w:type="dxa"/>
          </w:tcPr>
          <w:p w14:paraId="284E975D" w14:textId="1F51A046" w:rsidR="00B43C7E" w:rsidRPr="008E60C0" w:rsidRDefault="00B43C7E" w:rsidP="00B43C7E">
            <w:pPr>
              <w:rPr>
                <w:sz w:val="22"/>
                <w:szCs w:val="22"/>
              </w:rPr>
            </w:pPr>
            <w:r w:rsidRPr="008E60C0">
              <w:rPr>
                <w:sz w:val="22"/>
                <w:szCs w:val="22"/>
              </w:rPr>
              <w:t xml:space="preserve">In class TAs (and teachers) to provide small group </w:t>
            </w:r>
          </w:p>
        </w:tc>
        <w:tc>
          <w:tcPr>
            <w:tcW w:w="5245" w:type="dxa"/>
          </w:tcPr>
          <w:p w14:paraId="449D6708" w14:textId="77777777" w:rsidR="008E60C0" w:rsidRPr="008E60C0" w:rsidRDefault="008E60C0" w:rsidP="00B43C7E">
            <w:pPr>
              <w:rPr>
                <w:sz w:val="22"/>
                <w:szCs w:val="22"/>
              </w:rPr>
            </w:pPr>
            <w:r w:rsidRPr="008E60C0">
              <w:rPr>
                <w:sz w:val="22"/>
                <w:szCs w:val="22"/>
              </w:rPr>
              <w:t>Additional TA support aided reading progress, in particular.  Extra reading comprehension through PPG and catch up funding boosted outcomes</w:t>
            </w:r>
          </w:p>
          <w:p w14:paraId="6A119197" w14:textId="77777777" w:rsidR="00B43C7E" w:rsidRPr="008E60C0" w:rsidRDefault="00B43C7E" w:rsidP="008E60C0">
            <w:pPr>
              <w:rPr>
                <w:sz w:val="22"/>
                <w:szCs w:val="22"/>
              </w:rPr>
            </w:pPr>
          </w:p>
        </w:tc>
        <w:tc>
          <w:tcPr>
            <w:tcW w:w="5024" w:type="dxa"/>
            <w:gridSpan w:val="2"/>
          </w:tcPr>
          <w:p w14:paraId="3F0B40A5" w14:textId="3EB14D2E" w:rsidR="00B43C7E" w:rsidRDefault="008E60C0" w:rsidP="00B43C7E">
            <w:pPr>
              <w:rPr>
                <w:sz w:val="22"/>
                <w:szCs w:val="22"/>
              </w:rPr>
            </w:pPr>
            <w:r>
              <w:rPr>
                <w:sz w:val="22"/>
                <w:szCs w:val="22"/>
              </w:rPr>
              <w:t>Some pupils have been identified with dyslexic traits through screening so SEND provision has been mapped</w:t>
            </w:r>
          </w:p>
        </w:tc>
      </w:tr>
      <w:tr w:rsidR="00B43C7E" w:rsidRPr="00810CB0" w14:paraId="767CC7E9" w14:textId="77777777" w:rsidTr="54FCDADF">
        <w:tc>
          <w:tcPr>
            <w:tcW w:w="1838" w:type="dxa"/>
            <w:vMerge/>
          </w:tcPr>
          <w:p w14:paraId="09D1D98E" w14:textId="3551E95F" w:rsidR="00B43C7E" w:rsidRDefault="00B43C7E" w:rsidP="00B43C7E">
            <w:pPr>
              <w:rPr>
                <w:sz w:val="22"/>
                <w:szCs w:val="22"/>
              </w:rPr>
            </w:pPr>
          </w:p>
        </w:tc>
        <w:tc>
          <w:tcPr>
            <w:tcW w:w="1843" w:type="dxa"/>
          </w:tcPr>
          <w:p w14:paraId="5293E052" w14:textId="3EC0498A" w:rsidR="00B43C7E" w:rsidRPr="006A02FE" w:rsidRDefault="00B43C7E" w:rsidP="00B43C7E">
            <w:pPr>
              <w:rPr>
                <w:sz w:val="22"/>
                <w:szCs w:val="22"/>
              </w:rPr>
            </w:pPr>
            <w:r w:rsidRPr="006A02FE">
              <w:rPr>
                <w:sz w:val="22"/>
                <w:szCs w:val="22"/>
              </w:rPr>
              <w:t>Additional phonics support</w:t>
            </w:r>
          </w:p>
        </w:tc>
        <w:tc>
          <w:tcPr>
            <w:tcW w:w="5245" w:type="dxa"/>
          </w:tcPr>
          <w:p w14:paraId="0E118B6D" w14:textId="736ADDC1" w:rsidR="00B43C7E" w:rsidRPr="006A02FE" w:rsidRDefault="00B43C7E" w:rsidP="00B43C7E">
            <w:pPr>
              <w:rPr>
                <w:sz w:val="22"/>
                <w:szCs w:val="22"/>
              </w:rPr>
            </w:pPr>
            <w:r w:rsidRPr="006A02FE">
              <w:rPr>
                <w:sz w:val="22"/>
                <w:szCs w:val="22"/>
              </w:rPr>
              <w:t>SEND</w:t>
            </w:r>
            <w:r w:rsidR="008E60C0" w:rsidRPr="006A02FE">
              <w:rPr>
                <w:sz w:val="22"/>
                <w:szCs w:val="22"/>
              </w:rPr>
              <w:t xml:space="preserve"> additional phonics provision </w:t>
            </w:r>
            <w:r w:rsidRPr="006A02FE">
              <w:rPr>
                <w:sz w:val="22"/>
                <w:szCs w:val="22"/>
              </w:rPr>
              <w:t>in-class sessions</w:t>
            </w:r>
            <w:r w:rsidR="006A02FE" w:rsidRPr="006A02FE">
              <w:rPr>
                <w:sz w:val="22"/>
                <w:szCs w:val="22"/>
              </w:rPr>
              <w:t xml:space="preserve"> and additional </w:t>
            </w:r>
            <w:r w:rsidR="006A02FE">
              <w:rPr>
                <w:sz w:val="22"/>
                <w:szCs w:val="22"/>
              </w:rPr>
              <w:t>sessions aided</w:t>
            </w:r>
            <w:r w:rsidR="006A02FE" w:rsidRPr="006A02FE">
              <w:rPr>
                <w:sz w:val="22"/>
                <w:szCs w:val="22"/>
              </w:rPr>
              <w:t xml:space="preserve"> reading</w:t>
            </w:r>
            <w:r w:rsidR="006A02FE">
              <w:rPr>
                <w:sz w:val="22"/>
                <w:szCs w:val="22"/>
              </w:rPr>
              <w:t xml:space="preserve"> outcomes and writing progress</w:t>
            </w:r>
          </w:p>
        </w:tc>
        <w:tc>
          <w:tcPr>
            <w:tcW w:w="5024" w:type="dxa"/>
            <w:gridSpan w:val="2"/>
          </w:tcPr>
          <w:p w14:paraId="521E7BB6" w14:textId="4DB7B731" w:rsidR="00B43C7E" w:rsidRDefault="006A02FE" w:rsidP="00B43C7E">
            <w:pPr>
              <w:rPr>
                <w:sz w:val="22"/>
                <w:szCs w:val="22"/>
              </w:rPr>
            </w:pPr>
            <w:r>
              <w:rPr>
                <w:sz w:val="22"/>
                <w:szCs w:val="22"/>
              </w:rPr>
              <w:t>Writing progress was poorer than reading</w:t>
            </w:r>
          </w:p>
        </w:tc>
      </w:tr>
      <w:tr w:rsidR="00B43C7E" w:rsidRPr="00810CB0" w14:paraId="2106040C" w14:textId="77777777" w:rsidTr="54FCDADF">
        <w:tc>
          <w:tcPr>
            <w:tcW w:w="1838" w:type="dxa"/>
            <w:vMerge/>
          </w:tcPr>
          <w:p w14:paraId="720519CD" w14:textId="6CC74E42" w:rsidR="00B43C7E" w:rsidRDefault="00B43C7E" w:rsidP="00B43C7E">
            <w:pPr>
              <w:rPr>
                <w:sz w:val="22"/>
                <w:szCs w:val="22"/>
              </w:rPr>
            </w:pPr>
          </w:p>
        </w:tc>
        <w:tc>
          <w:tcPr>
            <w:tcW w:w="1843" w:type="dxa"/>
          </w:tcPr>
          <w:p w14:paraId="48BBBCBE" w14:textId="05FC9B8B" w:rsidR="00B43C7E" w:rsidRPr="00715718" w:rsidRDefault="00B43C7E" w:rsidP="00B43C7E">
            <w:pPr>
              <w:rPr>
                <w:sz w:val="22"/>
                <w:szCs w:val="22"/>
              </w:rPr>
            </w:pPr>
            <w:r w:rsidRPr="00715718">
              <w:rPr>
                <w:sz w:val="22"/>
                <w:szCs w:val="22"/>
              </w:rPr>
              <w:t>Weekly newsround</w:t>
            </w:r>
            <w:r w:rsidR="005A5A97">
              <w:rPr>
                <w:sz w:val="22"/>
                <w:szCs w:val="22"/>
              </w:rPr>
              <w:t xml:space="preserve"> TV programme</w:t>
            </w:r>
          </w:p>
        </w:tc>
        <w:tc>
          <w:tcPr>
            <w:tcW w:w="5245" w:type="dxa"/>
          </w:tcPr>
          <w:p w14:paraId="66DF3FE2" w14:textId="10B8BE78" w:rsidR="00B43C7E" w:rsidRPr="00715718" w:rsidRDefault="00715718" w:rsidP="00B43C7E">
            <w:pPr>
              <w:rPr>
                <w:sz w:val="22"/>
                <w:szCs w:val="22"/>
              </w:rPr>
            </w:pPr>
            <w:r w:rsidRPr="00715718">
              <w:rPr>
                <w:sz w:val="22"/>
                <w:szCs w:val="22"/>
              </w:rPr>
              <w:t>T</w:t>
            </w:r>
            <w:r w:rsidR="005A5A97">
              <w:rPr>
                <w:sz w:val="22"/>
                <w:szCs w:val="22"/>
              </w:rPr>
              <w:t>hese watched</w:t>
            </w:r>
            <w:r w:rsidRPr="00715718">
              <w:rPr>
                <w:sz w:val="22"/>
                <w:szCs w:val="22"/>
              </w:rPr>
              <w:t xml:space="preserve"> daily as lunches for KS2 pupils moved to classrooms, widening children’s understanding and perspectives</w:t>
            </w:r>
          </w:p>
          <w:p w14:paraId="654494D2" w14:textId="579A8882" w:rsidR="00B43C7E" w:rsidRPr="00715718" w:rsidRDefault="00B43C7E" w:rsidP="00B43C7E">
            <w:pPr>
              <w:rPr>
                <w:sz w:val="22"/>
                <w:szCs w:val="22"/>
              </w:rPr>
            </w:pPr>
          </w:p>
        </w:tc>
        <w:tc>
          <w:tcPr>
            <w:tcW w:w="5024" w:type="dxa"/>
            <w:gridSpan w:val="2"/>
          </w:tcPr>
          <w:p w14:paraId="130E274A" w14:textId="1BEC5020" w:rsidR="00B43C7E" w:rsidRPr="00715718" w:rsidRDefault="00715718" w:rsidP="00B43C7E">
            <w:pPr>
              <w:rPr>
                <w:sz w:val="22"/>
                <w:szCs w:val="22"/>
              </w:rPr>
            </w:pPr>
            <w:r w:rsidRPr="00715718">
              <w:rPr>
                <w:sz w:val="22"/>
                <w:szCs w:val="22"/>
              </w:rPr>
              <w:t>Consider re-establishing knowledge groups for dialogue to deepen understanding when lunch times move back to school hall</w:t>
            </w:r>
          </w:p>
        </w:tc>
      </w:tr>
      <w:tr w:rsidR="00B43C7E" w:rsidRPr="00810CB0" w14:paraId="31A8FF2C" w14:textId="77777777" w:rsidTr="54FCDADF">
        <w:tc>
          <w:tcPr>
            <w:tcW w:w="1838" w:type="dxa"/>
            <w:vMerge/>
          </w:tcPr>
          <w:p w14:paraId="0F6C0F4B" w14:textId="731CE46B" w:rsidR="00B43C7E" w:rsidRDefault="00B43C7E" w:rsidP="00B43C7E">
            <w:pPr>
              <w:rPr>
                <w:sz w:val="22"/>
                <w:szCs w:val="22"/>
              </w:rPr>
            </w:pPr>
          </w:p>
        </w:tc>
        <w:tc>
          <w:tcPr>
            <w:tcW w:w="1843" w:type="dxa"/>
          </w:tcPr>
          <w:p w14:paraId="5E8737D8" w14:textId="48E60720" w:rsidR="00B43C7E" w:rsidRPr="00970804" w:rsidRDefault="00B43C7E" w:rsidP="00B43C7E">
            <w:pPr>
              <w:rPr>
                <w:sz w:val="22"/>
                <w:szCs w:val="22"/>
              </w:rPr>
            </w:pPr>
            <w:r w:rsidRPr="00970804">
              <w:rPr>
                <w:sz w:val="22"/>
                <w:szCs w:val="22"/>
              </w:rPr>
              <w:t>CPD:</w:t>
            </w:r>
          </w:p>
          <w:p w14:paraId="3F9372DC" w14:textId="14ECB255" w:rsidR="00B43C7E" w:rsidRPr="00970804" w:rsidRDefault="00B43C7E" w:rsidP="00B43C7E">
            <w:pPr>
              <w:rPr>
                <w:sz w:val="22"/>
                <w:szCs w:val="22"/>
              </w:rPr>
            </w:pPr>
            <w:r w:rsidRPr="00970804">
              <w:rPr>
                <w:sz w:val="22"/>
                <w:szCs w:val="22"/>
              </w:rPr>
              <w:t>Modelled writing and in-class interventions</w:t>
            </w:r>
          </w:p>
        </w:tc>
        <w:tc>
          <w:tcPr>
            <w:tcW w:w="5245" w:type="dxa"/>
          </w:tcPr>
          <w:p w14:paraId="16AA27C2" w14:textId="667BED29" w:rsidR="00B43C7E" w:rsidRPr="00970804" w:rsidRDefault="00970804" w:rsidP="00970804">
            <w:pPr>
              <w:rPr>
                <w:sz w:val="22"/>
                <w:szCs w:val="22"/>
              </w:rPr>
            </w:pPr>
            <w:r w:rsidRPr="00970804">
              <w:rPr>
                <w:sz w:val="22"/>
                <w:szCs w:val="22"/>
              </w:rPr>
              <w:t>Limited by lockdowns</w:t>
            </w:r>
          </w:p>
        </w:tc>
        <w:tc>
          <w:tcPr>
            <w:tcW w:w="5024" w:type="dxa"/>
            <w:gridSpan w:val="2"/>
          </w:tcPr>
          <w:p w14:paraId="072DD5BE" w14:textId="40B20B12" w:rsidR="00970804" w:rsidRPr="00970804" w:rsidRDefault="00970804" w:rsidP="00970804">
            <w:pPr>
              <w:rPr>
                <w:sz w:val="22"/>
                <w:szCs w:val="22"/>
              </w:rPr>
            </w:pPr>
            <w:r w:rsidRPr="00970804">
              <w:rPr>
                <w:sz w:val="22"/>
                <w:szCs w:val="22"/>
              </w:rPr>
              <w:t>Autumn term: CPD for modelling writing</w:t>
            </w:r>
          </w:p>
          <w:p w14:paraId="18C3FC0B" w14:textId="044F8F1A" w:rsidR="00B43C7E" w:rsidRPr="00970804" w:rsidRDefault="00B43C7E" w:rsidP="00B43C7E">
            <w:pPr>
              <w:rPr>
                <w:sz w:val="22"/>
                <w:szCs w:val="22"/>
              </w:rPr>
            </w:pPr>
          </w:p>
        </w:tc>
      </w:tr>
      <w:tr w:rsidR="00DA6B7A" w:rsidRPr="00810CB0" w14:paraId="23F9EFEF" w14:textId="77777777" w:rsidTr="00DA6B7A">
        <w:tc>
          <w:tcPr>
            <w:tcW w:w="13950" w:type="dxa"/>
            <w:gridSpan w:val="5"/>
            <w:shd w:val="clear" w:color="auto" w:fill="E2EFD9" w:themeFill="accent6" w:themeFillTint="33"/>
          </w:tcPr>
          <w:p w14:paraId="717B585E" w14:textId="7354F70C" w:rsidR="00DA6B7A" w:rsidRPr="00DA6B7A" w:rsidRDefault="00DA6B7A" w:rsidP="00DA6B7A">
            <w:pPr>
              <w:pStyle w:val="ListParagraph"/>
              <w:numPr>
                <w:ilvl w:val="0"/>
                <w:numId w:val="12"/>
              </w:numPr>
              <w:rPr>
                <w:sz w:val="22"/>
                <w:szCs w:val="22"/>
              </w:rPr>
            </w:pPr>
            <w:r w:rsidRPr="00DA6B7A">
              <w:rPr>
                <w:sz w:val="22"/>
                <w:szCs w:val="22"/>
              </w:rPr>
              <w:t>Targeted support</w:t>
            </w:r>
          </w:p>
        </w:tc>
      </w:tr>
      <w:tr w:rsidR="007B6E9E" w:rsidRPr="00810CB0" w14:paraId="4C22858D" w14:textId="77777777" w:rsidTr="54FCDADF">
        <w:tc>
          <w:tcPr>
            <w:tcW w:w="1838" w:type="dxa"/>
            <w:vMerge w:val="restart"/>
          </w:tcPr>
          <w:p w14:paraId="72DF4370" w14:textId="20398DA1" w:rsidR="007B6E9E" w:rsidRPr="007B6E9E" w:rsidRDefault="007B6E9E" w:rsidP="007B6E9E">
            <w:pPr>
              <w:rPr>
                <w:sz w:val="22"/>
                <w:szCs w:val="22"/>
              </w:rPr>
            </w:pPr>
            <w:r w:rsidRPr="007B6E9E">
              <w:rPr>
                <w:sz w:val="22"/>
                <w:szCs w:val="22"/>
              </w:rPr>
              <w:t>1. Improve maths reasoning and skills</w:t>
            </w:r>
          </w:p>
        </w:tc>
        <w:tc>
          <w:tcPr>
            <w:tcW w:w="1843" w:type="dxa"/>
          </w:tcPr>
          <w:p w14:paraId="7A2B0882" w14:textId="5AFB23E4" w:rsidR="007B6E9E" w:rsidRPr="007B6E9E" w:rsidRDefault="007B6E9E" w:rsidP="007B6E9E">
            <w:pPr>
              <w:rPr>
                <w:sz w:val="22"/>
                <w:szCs w:val="22"/>
              </w:rPr>
            </w:pPr>
            <w:r w:rsidRPr="007B6E9E">
              <w:rPr>
                <w:sz w:val="22"/>
                <w:szCs w:val="22"/>
              </w:rPr>
              <w:t>Pre-maths/post-maths teaching by HLTAs/TAs</w:t>
            </w:r>
          </w:p>
        </w:tc>
        <w:tc>
          <w:tcPr>
            <w:tcW w:w="5245" w:type="dxa"/>
          </w:tcPr>
          <w:p w14:paraId="5FF267EC" w14:textId="28C6F429" w:rsidR="007B6E9E" w:rsidRPr="007B6E9E" w:rsidRDefault="007B6E9E" w:rsidP="007B6E9E">
            <w:pPr>
              <w:rPr>
                <w:sz w:val="22"/>
                <w:szCs w:val="22"/>
              </w:rPr>
            </w:pPr>
            <w:r w:rsidRPr="007B6E9E">
              <w:rPr>
                <w:sz w:val="22"/>
                <w:szCs w:val="22"/>
              </w:rPr>
              <w:t>Children grouped for additional vocabulary/concept teaching to accelerate progress aided progress</w:t>
            </w:r>
          </w:p>
        </w:tc>
        <w:tc>
          <w:tcPr>
            <w:tcW w:w="5024" w:type="dxa"/>
            <w:gridSpan w:val="2"/>
          </w:tcPr>
          <w:p w14:paraId="7189BCF2" w14:textId="66F52D61" w:rsidR="007B6E9E" w:rsidRPr="007B6E9E" w:rsidRDefault="007B6E9E" w:rsidP="007B6E9E">
            <w:pPr>
              <w:rPr>
                <w:sz w:val="22"/>
                <w:szCs w:val="22"/>
              </w:rPr>
            </w:pPr>
            <w:r w:rsidRPr="007B6E9E">
              <w:rPr>
                <w:sz w:val="22"/>
                <w:szCs w:val="22"/>
              </w:rPr>
              <w:t>Repetition of key concepts supported children</w:t>
            </w:r>
          </w:p>
        </w:tc>
      </w:tr>
      <w:tr w:rsidR="007B6E9E" w:rsidRPr="00810CB0" w14:paraId="7C4B5ADE" w14:textId="77777777" w:rsidTr="54FCDADF">
        <w:tc>
          <w:tcPr>
            <w:tcW w:w="1838" w:type="dxa"/>
            <w:vMerge/>
          </w:tcPr>
          <w:p w14:paraId="476B57F3" w14:textId="5DED87F3" w:rsidR="007B6E9E" w:rsidRPr="007B6E9E" w:rsidRDefault="007B6E9E" w:rsidP="007B6E9E">
            <w:pPr>
              <w:rPr>
                <w:sz w:val="22"/>
                <w:szCs w:val="22"/>
              </w:rPr>
            </w:pPr>
          </w:p>
        </w:tc>
        <w:tc>
          <w:tcPr>
            <w:tcW w:w="1843" w:type="dxa"/>
          </w:tcPr>
          <w:p w14:paraId="7C19D4B3" w14:textId="0143695A" w:rsidR="007B6E9E" w:rsidRPr="007B6E9E" w:rsidRDefault="007B6E9E" w:rsidP="007B6E9E">
            <w:pPr>
              <w:rPr>
                <w:sz w:val="22"/>
                <w:szCs w:val="22"/>
              </w:rPr>
            </w:pPr>
            <w:r w:rsidRPr="007B6E9E">
              <w:rPr>
                <w:sz w:val="22"/>
                <w:szCs w:val="22"/>
              </w:rPr>
              <w:t>Specific maths feedback</w:t>
            </w:r>
          </w:p>
        </w:tc>
        <w:tc>
          <w:tcPr>
            <w:tcW w:w="5245" w:type="dxa"/>
          </w:tcPr>
          <w:p w14:paraId="0601C58D" w14:textId="04FA8720" w:rsidR="007B6E9E" w:rsidRPr="007B6E9E" w:rsidRDefault="007B6E9E" w:rsidP="007B6E9E">
            <w:pPr>
              <w:rPr>
                <w:sz w:val="22"/>
                <w:szCs w:val="22"/>
              </w:rPr>
            </w:pPr>
            <w:r w:rsidRPr="007B6E9E">
              <w:rPr>
                <w:sz w:val="22"/>
                <w:szCs w:val="22"/>
              </w:rPr>
              <w:t>Identified pupils with additional needs/younger pupils – extra verbal feedback enhanced understanding</w:t>
            </w:r>
          </w:p>
        </w:tc>
        <w:tc>
          <w:tcPr>
            <w:tcW w:w="5024" w:type="dxa"/>
            <w:gridSpan w:val="2"/>
          </w:tcPr>
          <w:p w14:paraId="0D0462B4" w14:textId="484A2E19" w:rsidR="007B6E9E" w:rsidRPr="007B6E9E" w:rsidRDefault="007B6E9E" w:rsidP="007B6E9E">
            <w:pPr>
              <w:rPr>
                <w:sz w:val="22"/>
                <w:szCs w:val="22"/>
              </w:rPr>
            </w:pPr>
            <w:r w:rsidRPr="007B6E9E">
              <w:rPr>
                <w:sz w:val="22"/>
                <w:szCs w:val="22"/>
              </w:rPr>
              <w:t>Rapid feedback on learning supported progress</w:t>
            </w:r>
          </w:p>
        </w:tc>
      </w:tr>
      <w:tr w:rsidR="00297C8F" w:rsidRPr="00810CB0" w14:paraId="104B907A" w14:textId="77777777" w:rsidTr="54FCDADF">
        <w:tc>
          <w:tcPr>
            <w:tcW w:w="1838" w:type="dxa"/>
            <w:vMerge w:val="restart"/>
          </w:tcPr>
          <w:p w14:paraId="34842542" w14:textId="25A6A367" w:rsidR="00297C8F" w:rsidRPr="00F00034" w:rsidRDefault="00297C8F" w:rsidP="00297C8F">
            <w:pPr>
              <w:rPr>
                <w:sz w:val="22"/>
                <w:szCs w:val="22"/>
              </w:rPr>
            </w:pPr>
            <w:r w:rsidRPr="00F00034">
              <w:rPr>
                <w:sz w:val="22"/>
                <w:szCs w:val="22"/>
              </w:rPr>
              <w:t>2. Improve literacy skills</w:t>
            </w:r>
          </w:p>
          <w:p w14:paraId="5F48F22E" w14:textId="6355C78F" w:rsidR="00297C8F" w:rsidRPr="007B6E9E" w:rsidRDefault="00297C8F" w:rsidP="00297C8F">
            <w:pPr>
              <w:rPr>
                <w:sz w:val="22"/>
                <w:szCs w:val="22"/>
              </w:rPr>
            </w:pPr>
          </w:p>
        </w:tc>
        <w:tc>
          <w:tcPr>
            <w:tcW w:w="1843" w:type="dxa"/>
          </w:tcPr>
          <w:p w14:paraId="0C7FC6E6" w14:textId="0FD40772" w:rsidR="00297C8F" w:rsidRPr="00297C8F" w:rsidRDefault="00297C8F" w:rsidP="00297C8F">
            <w:pPr>
              <w:rPr>
                <w:sz w:val="22"/>
                <w:szCs w:val="22"/>
              </w:rPr>
            </w:pPr>
            <w:r w:rsidRPr="00297C8F">
              <w:rPr>
                <w:sz w:val="22"/>
                <w:szCs w:val="22"/>
              </w:rPr>
              <w:t>Additional phonics support</w:t>
            </w:r>
          </w:p>
        </w:tc>
        <w:tc>
          <w:tcPr>
            <w:tcW w:w="5245" w:type="dxa"/>
          </w:tcPr>
          <w:p w14:paraId="1CFE2685" w14:textId="767B9E3F" w:rsidR="00297C8F" w:rsidRPr="00297C8F" w:rsidRDefault="00297C8F" w:rsidP="00297C8F">
            <w:pPr>
              <w:rPr>
                <w:sz w:val="22"/>
                <w:szCs w:val="22"/>
              </w:rPr>
            </w:pPr>
            <w:r w:rsidRPr="00297C8F">
              <w:rPr>
                <w:sz w:val="22"/>
                <w:szCs w:val="22"/>
              </w:rPr>
              <w:t>Group work, in-class, support improved reading outcomes</w:t>
            </w:r>
          </w:p>
        </w:tc>
        <w:tc>
          <w:tcPr>
            <w:tcW w:w="5024" w:type="dxa"/>
            <w:gridSpan w:val="2"/>
          </w:tcPr>
          <w:p w14:paraId="5D18824C" w14:textId="29AA6845" w:rsidR="00297C8F" w:rsidRPr="007B6E9E" w:rsidRDefault="00297C8F" w:rsidP="00297C8F">
            <w:pPr>
              <w:rPr>
                <w:sz w:val="22"/>
                <w:szCs w:val="22"/>
              </w:rPr>
            </w:pPr>
            <w:r>
              <w:rPr>
                <w:sz w:val="22"/>
                <w:szCs w:val="22"/>
              </w:rPr>
              <w:t>Ensure that other aspects of writing are supported to improve outcomes</w:t>
            </w:r>
          </w:p>
        </w:tc>
      </w:tr>
      <w:tr w:rsidR="00297C8F" w:rsidRPr="00810CB0" w14:paraId="40B2DE94" w14:textId="77777777" w:rsidTr="54FCDADF">
        <w:tc>
          <w:tcPr>
            <w:tcW w:w="1838" w:type="dxa"/>
            <w:vMerge/>
          </w:tcPr>
          <w:p w14:paraId="2134D72D" w14:textId="0A6DE5C4" w:rsidR="00297C8F" w:rsidRDefault="00297C8F" w:rsidP="00297C8F">
            <w:pPr>
              <w:rPr>
                <w:sz w:val="22"/>
                <w:szCs w:val="22"/>
              </w:rPr>
            </w:pPr>
          </w:p>
        </w:tc>
        <w:tc>
          <w:tcPr>
            <w:tcW w:w="1843" w:type="dxa"/>
          </w:tcPr>
          <w:p w14:paraId="032F8E40" w14:textId="38AB36FB" w:rsidR="00297C8F" w:rsidRPr="00F00034" w:rsidRDefault="00297C8F" w:rsidP="00297C8F">
            <w:pPr>
              <w:rPr>
                <w:sz w:val="22"/>
                <w:szCs w:val="22"/>
              </w:rPr>
            </w:pPr>
            <w:r w:rsidRPr="00F00034">
              <w:rPr>
                <w:sz w:val="22"/>
                <w:szCs w:val="22"/>
              </w:rPr>
              <w:t>Specific literacy interventions</w:t>
            </w:r>
          </w:p>
        </w:tc>
        <w:tc>
          <w:tcPr>
            <w:tcW w:w="5245" w:type="dxa"/>
          </w:tcPr>
          <w:p w14:paraId="5270E9DE" w14:textId="69DB91AA" w:rsidR="00297C8F" w:rsidRPr="00F00034" w:rsidRDefault="00F00034" w:rsidP="00297C8F">
            <w:pPr>
              <w:rPr>
                <w:sz w:val="22"/>
                <w:szCs w:val="22"/>
              </w:rPr>
            </w:pPr>
            <w:r w:rsidRPr="00F00034">
              <w:rPr>
                <w:sz w:val="22"/>
                <w:szCs w:val="22"/>
              </w:rPr>
              <w:t xml:space="preserve">Provision mapped to support pupils with SEND </w:t>
            </w:r>
          </w:p>
        </w:tc>
        <w:tc>
          <w:tcPr>
            <w:tcW w:w="5024" w:type="dxa"/>
            <w:gridSpan w:val="2"/>
          </w:tcPr>
          <w:p w14:paraId="50C8C177" w14:textId="5E109BDD" w:rsidR="00297C8F" w:rsidRPr="00F00034" w:rsidRDefault="00F00034" w:rsidP="00297C8F">
            <w:pPr>
              <w:rPr>
                <w:sz w:val="22"/>
                <w:szCs w:val="22"/>
              </w:rPr>
            </w:pPr>
            <w:r w:rsidRPr="00F00034">
              <w:rPr>
                <w:sz w:val="22"/>
                <w:szCs w:val="22"/>
              </w:rPr>
              <w:t>On-going for children with SEND</w:t>
            </w:r>
            <w:r w:rsidR="00297C8F" w:rsidRPr="00F00034">
              <w:rPr>
                <w:sz w:val="22"/>
                <w:szCs w:val="22"/>
              </w:rPr>
              <w:t xml:space="preserve"> </w:t>
            </w:r>
          </w:p>
        </w:tc>
      </w:tr>
      <w:tr w:rsidR="00297C8F" w:rsidRPr="00810CB0" w14:paraId="6783FC08" w14:textId="77777777" w:rsidTr="54FCDADF">
        <w:tc>
          <w:tcPr>
            <w:tcW w:w="1838" w:type="dxa"/>
            <w:vMerge/>
          </w:tcPr>
          <w:p w14:paraId="2E2903BF" w14:textId="7781973B" w:rsidR="00297C8F" w:rsidRDefault="00297C8F" w:rsidP="00297C8F">
            <w:pPr>
              <w:rPr>
                <w:sz w:val="22"/>
                <w:szCs w:val="22"/>
              </w:rPr>
            </w:pPr>
          </w:p>
        </w:tc>
        <w:tc>
          <w:tcPr>
            <w:tcW w:w="1843" w:type="dxa"/>
          </w:tcPr>
          <w:p w14:paraId="7681843C" w14:textId="4C5B2466" w:rsidR="00297C8F" w:rsidRPr="00F00034" w:rsidRDefault="00297C8F" w:rsidP="00297C8F">
            <w:pPr>
              <w:rPr>
                <w:sz w:val="22"/>
                <w:szCs w:val="22"/>
              </w:rPr>
            </w:pPr>
            <w:r w:rsidRPr="00F00034">
              <w:rPr>
                <w:sz w:val="22"/>
                <w:szCs w:val="22"/>
              </w:rPr>
              <w:t>1:1 writing conferencing for pupils without SEN</w:t>
            </w:r>
          </w:p>
        </w:tc>
        <w:tc>
          <w:tcPr>
            <w:tcW w:w="5245" w:type="dxa"/>
          </w:tcPr>
          <w:p w14:paraId="61BAE76F" w14:textId="532E798C" w:rsidR="00297C8F" w:rsidRPr="00F00034" w:rsidRDefault="00297C8F" w:rsidP="00297C8F">
            <w:pPr>
              <w:rPr>
                <w:sz w:val="22"/>
                <w:szCs w:val="22"/>
              </w:rPr>
            </w:pPr>
            <w:r w:rsidRPr="00F00034">
              <w:rPr>
                <w:sz w:val="22"/>
                <w:szCs w:val="22"/>
              </w:rPr>
              <w:t>Regular monitoring of progress and opportunity for individual feedback enables progress to be supported by qualified teacher</w:t>
            </w:r>
            <w:r w:rsidR="00F00034" w:rsidRPr="00F00034">
              <w:rPr>
                <w:sz w:val="22"/>
                <w:szCs w:val="22"/>
              </w:rPr>
              <w:t xml:space="preserve"> enhanced progress for older pupils</w:t>
            </w:r>
          </w:p>
        </w:tc>
        <w:tc>
          <w:tcPr>
            <w:tcW w:w="5024" w:type="dxa"/>
            <w:gridSpan w:val="2"/>
          </w:tcPr>
          <w:p w14:paraId="5A4D6E0E" w14:textId="47D607E8" w:rsidR="00297C8F" w:rsidRDefault="00F00034" w:rsidP="00297C8F">
            <w:pPr>
              <w:rPr>
                <w:sz w:val="22"/>
                <w:szCs w:val="22"/>
              </w:rPr>
            </w:pPr>
            <w:r>
              <w:rPr>
                <w:sz w:val="22"/>
                <w:szCs w:val="22"/>
              </w:rPr>
              <w:t>Review Autumn 2021</w:t>
            </w:r>
          </w:p>
        </w:tc>
      </w:tr>
      <w:tr w:rsidR="005A5A97" w:rsidRPr="00810CB0" w14:paraId="16B2ADCD" w14:textId="77777777" w:rsidTr="54FCDADF">
        <w:tc>
          <w:tcPr>
            <w:tcW w:w="1838" w:type="dxa"/>
            <w:vMerge w:val="restart"/>
          </w:tcPr>
          <w:p w14:paraId="5ABBA2EF" w14:textId="1897D45A" w:rsidR="005A5A97" w:rsidRPr="005A5A97" w:rsidRDefault="005A5A97" w:rsidP="005A5A97">
            <w:pPr>
              <w:rPr>
                <w:sz w:val="22"/>
                <w:szCs w:val="22"/>
              </w:rPr>
            </w:pPr>
            <w:r w:rsidRPr="005A5A97">
              <w:rPr>
                <w:sz w:val="22"/>
                <w:szCs w:val="22"/>
              </w:rPr>
              <w:t>3. Support emotional needs/ regulate behaviour</w:t>
            </w:r>
          </w:p>
        </w:tc>
        <w:tc>
          <w:tcPr>
            <w:tcW w:w="1843" w:type="dxa"/>
          </w:tcPr>
          <w:p w14:paraId="6B669A77" w14:textId="424EB001" w:rsidR="005A5A97" w:rsidRPr="005A5A97" w:rsidRDefault="005A5A97" w:rsidP="005A5A97">
            <w:pPr>
              <w:rPr>
                <w:sz w:val="22"/>
                <w:szCs w:val="22"/>
              </w:rPr>
            </w:pPr>
            <w:r w:rsidRPr="005A5A97">
              <w:rPr>
                <w:sz w:val="22"/>
                <w:szCs w:val="22"/>
              </w:rPr>
              <w:t>Support children’s emotional needs</w:t>
            </w:r>
          </w:p>
        </w:tc>
        <w:tc>
          <w:tcPr>
            <w:tcW w:w="5245" w:type="dxa"/>
          </w:tcPr>
          <w:p w14:paraId="5FC2EE07" w14:textId="29AB22EE" w:rsidR="005A5A97" w:rsidRPr="005A5A97" w:rsidRDefault="005A5A97" w:rsidP="005A5A97">
            <w:pPr>
              <w:rPr>
                <w:sz w:val="22"/>
                <w:szCs w:val="22"/>
              </w:rPr>
            </w:pPr>
            <w:r w:rsidRPr="005A5A97">
              <w:rPr>
                <w:sz w:val="22"/>
                <w:szCs w:val="22"/>
              </w:rPr>
              <w:t>ELSA, in tandem with EP service, supports pupils’ emotional needs so children with specific SEHM accessed the curriculum for a significantly higher proportion of time</w:t>
            </w:r>
          </w:p>
          <w:p w14:paraId="5A40B9CB" w14:textId="18CFFB7C" w:rsidR="005A5A97" w:rsidRPr="005A5A97" w:rsidRDefault="005A5A97" w:rsidP="005A5A97">
            <w:pPr>
              <w:rPr>
                <w:sz w:val="22"/>
                <w:szCs w:val="22"/>
              </w:rPr>
            </w:pPr>
            <w:r w:rsidRPr="005A5A97">
              <w:rPr>
                <w:sz w:val="22"/>
                <w:szCs w:val="22"/>
              </w:rPr>
              <w:t>Counsellor provides weekly support for identified pupils improving mental well-being for one pupil in particular</w:t>
            </w:r>
          </w:p>
        </w:tc>
        <w:tc>
          <w:tcPr>
            <w:tcW w:w="5024" w:type="dxa"/>
            <w:gridSpan w:val="2"/>
          </w:tcPr>
          <w:p w14:paraId="0024969D" w14:textId="7E3705D4" w:rsidR="005A5A97" w:rsidRPr="005A5A97" w:rsidRDefault="005A5A97" w:rsidP="005A5A97">
            <w:pPr>
              <w:rPr>
                <w:sz w:val="22"/>
                <w:szCs w:val="22"/>
              </w:rPr>
            </w:pPr>
            <w:r w:rsidRPr="005A5A97">
              <w:rPr>
                <w:sz w:val="22"/>
                <w:szCs w:val="22"/>
              </w:rPr>
              <w:t>Children supported through counselling to be reviewed during the year and consider referral to I-shine counselling programme</w:t>
            </w:r>
          </w:p>
        </w:tc>
      </w:tr>
      <w:tr w:rsidR="005A5A97" w:rsidRPr="00810CB0" w14:paraId="7D5BA628" w14:textId="77777777" w:rsidTr="54FCDADF">
        <w:tc>
          <w:tcPr>
            <w:tcW w:w="1838" w:type="dxa"/>
            <w:vMerge/>
          </w:tcPr>
          <w:p w14:paraId="1E5EC74B" w14:textId="60A62953" w:rsidR="005A5A97" w:rsidRDefault="005A5A97" w:rsidP="005A5A97">
            <w:pPr>
              <w:rPr>
                <w:sz w:val="22"/>
                <w:szCs w:val="22"/>
              </w:rPr>
            </w:pPr>
          </w:p>
        </w:tc>
        <w:tc>
          <w:tcPr>
            <w:tcW w:w="1843" w:type="dxa"/>
          </w:tcPr>
          <w:p w14:paraId="35104A7C" w14:textId="2AC09AFA" w:rsidR="005A5A97" w:rsidRPr="00EB1568" w:rsidRDefault="005A5A97" w:rsidP="005A5A97">
            <w:pPr>
              <w:rPr>
                <w:sz w:val="22"/>
                <w:szCs w:val="22"/>
              </w:rPr>
            </w:pPr>
            <w:r w:rsidRPr="00EB1568">
              <w:rPr>
                <w:sz w:val="22"/>
                <w:szCs w:val="22"/>
              </w:rPr>
              <w:t>1:1/ class support</w:t>
            </w:r>
          </w:p>
        </w:tc>
        <w:tc>
          <w:tcPr>
            <w:tcW w:w="5245" w:type="dxa"/>
          </w:tcPr>
          <w:p w14:paraId="4D064067" w14:textId="2B8446B6" w:rsidR="005A5A97" w:rsidRPr="00EB1568" w:rsidRDefault="005A5A97" w:rsidP="005A5A97">
            <w:pPr>
              <w:rPr>
                <w:sz w:val="22"/>
                <w:szCs w:val="22"/>
              </w:rPr>
            </w:pPr>
            <w:r w:rsidRPr="00EB1568">
              <w:rPr>
                <w:sz w:val="22"/>
                <w:szCs w:val="22"/>
              </w:rPr>
              <w:t>Support n</w:t>
            </w:r>
            <w:r w:rsidR="00EB1568" w:rsidRPr="00EB1568">
              <w:rPr>
                <w:sz w:val="22"/>
                <w:szCs w:val="22"/>
              </w:rPr>
              <w:t>eeded for some pupils enabled them to</w:t>
            </w:r>
            <w:r w:rsidRPr="00EB1568">
              <w:rPr>
                <w:sz w:val="22"/>
                <w:szCs w:val="22"/>
              </w:rPr>
              <w:t xml:space="preserve"> regulate own behaviour</w:t>
            </w:r>
            <w:r w:rsidR="00EB1568" w:rsidRPr="00EB1568">
              <w:rPr>
                <w:sz w:val="22"/>
                <w:szCs w:val="22"/>
              </w:rPr>
              <w:t xml:space="preserve"> better and</w:t>
            </w:r>
            <w:r w:rsidRPr="00EB1568">
              <w:rPr>
                <w:sz w:val="22"/>
                <w:szCs w:val="22"/>
              </w:rPr>
              <w:t xml:space="preserve"> to access main curriculum</w:t>
            </w:r>
            <w:r w:rsidR="00EB1568" w:rsidRPr="00EB1568">
              <w:rPr>
                <w:sz w:val="22"/>
                <w:szCs w:val="22"/>
              </w:rPr>
              <w:t xml:space="preserve"> </w:t>
            </w:r>
          </w:p>
        </w:tc>
        <w:tc>
          <w:tcPr>
            <w:tcW w:w="5024" w:type="dxa"/>
            <w:gridSpan w:val="2"/>
          </w:tcPr>
          <w:p w14:paraId="03E18298" w14:textId="3208B17B" w:rsidR="005A5A97" w:rsidRDefault="00EB1568" w:rsidP="005A5A97">
            <w:pPr>
              <w:rPr>
                <w:sz w:val="22"/>
                <w:szCs w:val="22"/>
              </w:rPr>
            </w:pPr>
            <w:r>
              <w:rPr>
                <w:sz w:val="22"/>
                <w:szCs w:val="22"/>
              </w:rPr>
              <w:t>Review needs of children with SEMH in Autumn 2021 and consider reducing level of support, as able</w:t>
            </w:r>
          </w:p>
        </w:tc>
      </w:tr>
      <w:tr w:rsidR="006E4DE6" w:rsidRPr="00810CB0" w14:paraId="7A91BDDA" w14:textId="77777777" w:rsidTr="54FCDADF">
        <w:tc>
          <w:tcPr>
            <w:tcW w:w="1838" w:type="dxa"/>
            <w:vMerge w:val="restart"/>
          </w:tcPr>
          <w:p w14:paraId="01CB6EAA" w14:textId="555AC929" w:rsidR="006E4DE6" w:rsidRPr="006E4DE6" w:rsidRDefault="006E4DE6" w:rsidP="006E4DE6">
            <w:pPr>
              <w:rPr>
                <w:sz w:val="22"/>
                <w:szCs w:val="22"/>
              </w:rPr>
            </w:pPr>
            <w:r w:rsidRPr="006E4DE6">
              <w:rPr>
                <w:sz w:val="22"/>
                <w:szCs w:val="22"/>
              </w:rPr>
              <w:t xml:space="preserve">4.. Provide width of opportunities </w:t>
            </w:r>
          </w:p>
        </w:tc>
        <w:tc>
          <w:tcPr>
            <w:tcW w:w="1843" w:type="dxa"/>
          </w:tcPr>
          <w:p w14:paraId="746120FC" w14:textId="18DA4EBA" w:rsidR="006E4DE6" w:rsidRPr="006E4DE6" w:rsidRDefault="006E4DE6" w:rsidP="006E4DE6">
            <w:pPr>
              <w:rPr>
                <w:sz w:val="22"/>
                <w:szCs w:val="22"/>
              </w:rPr>
            </w:pPr>
            <w:r w:rsidRPr="006E4DE6">
              <w:rPr>
                <w:sz w:val="22"/>
                <w:szCs w:val="22"/>
              </w:rPr>
              <w:t>Enable  width of curriculum and opportunities</w:t>
            </w:r>
          </w:p>
        </w:tc>
        <w:tc>
          <w:tcPr>
            <w:tcW w:w="5245" w:type="dxa"/>
          </w:tcPr>
          <w:p w14:paraId="4D3B4A5A" w14:textId="7970D96B" w:rsidR="006E4DE6" w:rsidRPr="006E4DE6" w:rsidRDefault="006E4DE6" w:rsidP="006E4DE6">
            <w:pPr>
              <w:rPr>
                <w:sz w:val="22"/>
                <w:szCs w:val="22"/>
              </w:rPr>
            </w:pPr>
            <w:r w:rsidRPr="006E4DE6">
              <w:rPr>
                <w:sz w:val="22"/>
                <w:szCs w:val="22"/>
              </w:rPr>
              <w:t>Provide range of clubs and opportunities for those eligible for PPG including music, sport and enrichment (limited by COVID)</w:t>
            </w:r>
          </w:p>
        </w:tc>
        <w:tc>
          <w:tcPr>
            <w:tcW w:w="5024" w:type="dxa"/>
            <w:gridSpan w:val="2"/>
          </w:tcPr>
          <w:p w14:paraId="76A03157" w14:textId="67D6129E" w:rsidR="006E4DE6" w:rsidRPr="006E4DE6" w:rsidRDefault="006E4DE6" w:rsidP="006E4DE6">
            <w:pPr>
              <w:rPr>
                <w:sz w:val="22"/>
                <w:szCs w:val="22"/>
              </w:rPr>
            </w:pPr>
            <w:r w:rsidRPr="006E4DE6">
              <w:rPr>
                <w:sz w:val="22"/>
                <w:szCs w:val="22"/>
              </w:rPr>
              <w:t>When able provide additional free clubs</w:t>
            </w:r>
          </w:p>
        </w:tc>
      </w:tr>
      <w:tr w:rsidR="006E4DE6" w:rsidRPr="00810CB0" w14:paraId="18842D4C" w14:textId="77777777" w:rsidTr="54FCDADF">
        <w:tc>
          <w:tcPr>
            <w:tcW w:w="1838" w:type="dxa"/>
            <w:vMerge/>
          </w:tcPr>
          <w:p w14:paraId="177F612B" w14:textId="4F24A21B" w:rsidR="006E4DE6" w:rsidRDefault="006E4DE6" w:rsidP="006E4DE6">
            <w:pPr>
              <w:rPr>
                <w:sz w:val="22"/>
                <w:szCs w:val="22"/>
              </w:rPr>
            </w:pPr>
          </w:p>
        </w:tc>
        <w:tc>
          <w:tcPr>
            <w:tcW w:w="1843" w:type="dxa"/>
          </w:tcPr>
          <w:p w14:paraId="0CBF67B8" w14:textId="1052E3A2" w:rsidR="006E4DE6" w:rsidRPr="006E4DE6" w:rsidRDefault="006E4DE6" w:rsidP="006E4DE6">
            <w:pPr>
              <w:rPr>
                <w:sz w:val="22"/>
                <w:szCs w:val="22"/>
              </w:rPr>
            </w:pPr>
            <w:r w:rsidRPr="006E4DE6">
              <w:rPr>
                <w:sz w:val="22"/>
                <w:szCs w:val="22"/>
              </w:rPr>
              <w:t>Internet access</w:t>
            </w:r>
          </w:p>
        </w:tc>
        <w:tc>
          <w:tcPr>
            <w:tcW w:w="5245" w:type="dxa"/>
          </w:tcPr>
          <w:p w14:paraId="25FAC10E" w14:textId="5A79ADF4" w:rsidR="006E4DE6" w:rsidRPr="006E4DE6" w:rsidRDefault="006E4DE6" w:rsidP="006E4DE6">
            <w:pPr>
              <w:rPr>
                <w:sz w:val="22"/>
                <w:szCs w:val="22"/>
              </w:rPr>
            </w:pPr>
            <w:r w:rsidRPr="006E4DE6">
              <w:rPr>
                <w:sz w:val="22"/>
                <w:szCs w:val="22"/>
              </w:rPr>
              <w:t>Provided laptops for home use in lockdown</w:t>
            </w:r>
            <w:r>
              <w:rPr>
                <w:sz w:val="22"/>
                <w:szCs w:val="22"/>
              </w:rPr>
              <w:t>. All pupils in this group had access to devices, if at home, but most attended school</w:t>
            </w:r>
          </w:p>
        </w:tc>
        <w:tc>
          <w:tcPr>
            <w:tcW w:w="5024" w:type="dxa"/>
            <w:gridSpan w:val="2"/>
          </w:tcPr>
          <w:p w14:paraId="1FCD0D4E" w14:textId="0A1CDCE5" w:rsidR="006E4DE6" w:rsidRPr="006E4DE6" w:rsidRDefault="006E4DE6" w:rsidP="006E4DE6">
            <w:pPr>
              <w:rPr>
                <w:sz w:val="22"/>
                <w:szCs w:val="22"/>
              </w:rPr>
            </w:pPr>
            <w:r w:rsidRPr="006E4DE6">
              <w:rPr>
                <w:sz w:val="22"/>
                <w:szCs w:val="22"/>
              </w:rPr>
              <w:t>Devices provided (13% of school)</w:t>
            </w:r>
          </w:p>
        </w:tc>
      </w:tr>
      <w:tr w:rsidR="00BF2812" w:rsidRPr="00810CB0" w14:paraId="72A1971B" w14:textId="77777777" w:rsidTr="54FCDADF">
        <w:tc>
          <w:tcPr>
            <w:tcW w:w="1838" w:type="dxa"/>
            <w:vMerge w:val="restart"/>
          </w:tcPr>
          <w:p w14:paraId="0E9E15ED" w14:textId="77784004" w:rsidR="00BF2812" w:rsidRPr="00BF2812" w:rsidRDefault="00BF2812" w:rsidP="00BF2812">
            <w:pPr>
              <w:rPr>
                <w:sz w:val="22"/>
                <w:szCs w:val="22"/>
              </w:rPr>
            </w:pPr>
            <w:r w:rsidRPr="00BF2812">
              <w:rPr>
                <w:sz w:val="22"/>
                <w:szCs w:val="22"/>
              </w:rPr>
              <w:t>Support parents to meet children’s needs</w:t>
            </w:r>
          </w:p>
        </w:tc>
        <w:tc>
          <w:tcPr>
            <w:tcW w:w="1843" w:type="dxa"/>
          </w:tcPr>
          <w:p w14:paraId="61BBE8E9" w14:textId="5B3CC9FE" w:rsidR="00BF2812" w:rsidRPr="00BF2812" w:rsidRDefault="00BF2812" w:rsidP="00BF2812">
            <w:pPr>
              <w:rPr>
                <w:sz w:val="22"/>
                <w:szCs w:val="22"/>
              </w:rPr>
            </w:pPr>
            <w:r w:rsidRPr="00BF2812">
              <w:rPr>
                <w:sz w:val="22"/>
                <w:szCs w:val="22"/>
              </w:rPr>
              <w:t>Provide breakfast/ after school care to enable pupil attendance</w:t>
            </w:r>
          </w:p>
        </w:tc>
        <w:tc>
          <w:tcPr>
            <w:tcW w:w="5245" w:type="dxa"/>
          </w:tcPr>
          <w:p w14:paraId="00E30BE3" w14:textId="461E0EE2" w:rsidR="00BF2812" w:rsidRPr="00BF2812" w:rsidRDefault="00BF2812" w:rsidP="00BF2812">
            <w:pPr>
              <w:rPr>
                <w:sz w:val="22"/>
                <w:szCs w:val="22"/>
              </w:rPr>
            </w:pPr>
            <w:r w:rsidRPr="00BF2812">
              <w:rPr>
                <w:sz w:val="22"/>
                <w:szCs w:val="22"/>
              </w:rPr>
              <w:t>Enable parents to work and provide breakfast/ wrap-around care</w:t>
            </w:r>
          </w:p>
        </w:tc>
        <w:tc>
          <w:tcPr>
            <w:tcW w:w="5024" w:type="dxa"/>
            <w:gridSpan w:val="2"/>
          </w:tcPr>
          <w:p w14:paraId="214BC3C1" w14:textId="0A2DC660" w:rsidR="00BF2812" w:rsidRPr="00BF2812" w:rsidRDefault="00BF2812" w:rsidP="00BF2812">
            <w:pPr>
              <w:rPr>
                <w:sz w:val="22"/>
                <w:szCs w:val="22"/>
              </w:rPr>
            </w:pPr>
            <w:r w:rsidRPr="00BF2812">
              <w:rPr>
                <w:sz w:val="22"/>
                <w:szCs w:val="22"/>
              </w:rPr>
              <w:t>On-going – free breakfast club provision</w:t>
            </w:r>
          </w:p>
        </w:tc>
      </w:tr>
      <w:tr w:rsidR="00BF2812" w:rsidRPr="00810CB0" w14:paraId="2BBB18FA" w14:textId="77777777" w:rsidTr="54FCDADF">
        <w:tc>
          <w:tcPr>
            <w:tcW w:w="1838" w:type="dxa"/>
            <w:vMerge/>
          </w:tcPr>
          <w:p w14:paraId="683F53A8" w14:textId="6925BA83" w:rsidR="00BF2812" w:rsidRDefault="00BF2812" w:rsidP="00BF2812">
            <w:pPr>
              <w:rPr>
                <w:sz w:val="22"/>
                <w:szCs w:val="22"/>
              </w:rPr>
            </w:pPr>
          </w:p>
        </w:tc>
        <w:tc>
          <w:tcPr>
            <w:tcW w:w="1843" w:type="dxa"/>
          </w:tcPr>
          <w:p w14:paraId="607933CA" w14:textId="1920154A" w:rsidR="00BF2812" w:rsidRPr="00BF2812" w:rsidRDefault="00BF2812" w:rsidP="00BF2812">
            <w:pPr>
              <w:rPr>
                <w:sz w:val="22"/>
                <w:szCs w:val="22"/>
              </w:rPr>
            </w:pPr>
            <w:r w:rsidRPr="00BF2812">
              <w:rPr>
                <w:sz w:val="22"/>
                <w:szCs w:val="22"/>
              </w:rPr>
              <w:t>Additional parent/school meetings</w:t>
            </w:r>
          </w:p>
        </w:tc>
        <w:tc>
          <w:tcPr>
            <w:tcW w:w="5245" w:type="dxa"/>
          </w:tcPr>
          <w:p w14:paraId="24C4AB78" w14:textId="43CC6A8B" w:rsidR="00BF2812" w:rsidRPr="00BF2812" w:rsidRDefault="00BF2812" w:rsidP="00BF2812">
            <w:pPr>
              <w:rPr>
                <w:sz w:val="22"/>
                <w:szCs w:val="22"/>
              </w:rPr>
            </w:pPr>
            <w:r w:rsidRPr="00BF2812">
              <w:rPr>
                <w:sz w:val="22"/>
                <w:szCs w:val="22"/>
              </w:rPr>
              <w:t>Ad hoc meetings with SENCO/Head and teachers to improve outcomes and support family life; Early Help plans/work with other agencies as needed ensured good communication and pupil attendance. Mental health concerns were also reviewed</w:t>
            </w:r>
          </w:p>
        </w:tc>
        <w:tc>
          <w:tcPr>
            <w:tcW w:w="5024" w:type="dxa"/>
            <w:gridSpan w:val="2"/>
          </w:tcPr>
          <w:p w14:paraId="0E7DE4D5" w14:textId="438B6960" w:rsidR="00BF2812" w:rsidRPr="00BF2812" w:rsidRDefault="00BF2812" w:rsidP="00BF2812">
            <w:pPr>
              <w:rPr>
                <w:sz w:val="22"/>
                <w:szCs w:val="22"/>
              </w:rPr>
            </w:pPr>
            <w:r w:rsidRPr="00BF2812">
              <w:rPr>
                <w:sz w:val="22"/>
                <w:szCs w:val="22"/>
              </w:rPr>
              <w:t xml:space="preserve">On-going </w:t>
            </w:r>
          </w:p>
          <w:p w14:paraId="27F2E154" w14:textId="3DFBE2DF" w:rsidR="00BF2812" w:rsidRPr="00BF2812" w:rsidRDefault="00BF2812" w:rsidP="00BF2812">
            <w:pPr>
              <w:rPr>
                <w:sz w:val="22"/>
                <w:szCs w:val="22"/>
              </w:rPr>
            </w:pPr>
          </w:p>
        </w:tc>
      </w:tr>
      <w:tr w:rsidR="00BF2812" w:rsidRPr="00810CB0" w14:paraId="58AFA00E" w14:textId="77777777" w:rsidTr="54FCDADF">
        <w:tc>
          <w:tcPr>
            <w:tcW w:w="1838" w:type="dxa"/>
            <w:vMerge/>
          </w:tcPr>
          <w:p w14:paraId="786E6F38" w14:textId="0C00A747" w:rsidR="00BF2812" w:rsidRDefault="00BF2812" w:rsidP="00BF2812">
            <w:pPr>
              <w:rPr>
                <w:sz w:val="22"/>
                <w:szCs w:val="22"/>
              </w:rPr>
            </w:pPr>
          </w:p>
        </w:tc>
        <w:tc>
          <w:tcPr>
            <w:tcW w:w="1843" w:type="dxa"/>
          </w:tcPr>
          <w:p w14:paraId="3FADAD82" w14:textId="49DC8825" w:rsidR="00BF2812" w:rsidRPr="00BF2812" w:rsidRDefault="00BF2812" w:rsidP="00BF2812">
            <w:pPr>
              <w:rPr>
                <w:sz w:val="22"/>
                <w:szCs w:val="22"/>
              </w:rPr>
            </w:pPr>
            <w:r w:rsidRPr="00BF2812">
              <w:rPr>
                <w:sz w:val="22"/>
                <w:szCs w:val="22"/>
              </w:rPr>
              <w:t>Liaise with families who have had to shield relatives</w:t>
            </w:r>
          </w:p>
        </w:tc>
        <w:tc>
          <w:tcPr>
            <w:tcW w:w="5245" w:type="dxa"/>
          </w:tcPr>
          <w:p w14:paraId="2C5FCEC8" w14:textId="2AD2548A" w:rsidR="00BF2812" w:rsidRPr="00BF2812" w:rsidRDefault="00BF2812" w:rsidP="00BF2812">
            <w:pPr>
              <w:rPr>
                <w:sz w:val="22"/>
                <w:szCs w:val="22"/>
              </w:rPr>
            </w:pPr>
            <w:r w:rsidRPr="00BF2812">
              <w:rPr>
                <w:sz w:val="22"/>
                <w:szCs w:val="22"/>
              </w:rPr>
              <w:t>Provide clear risk assessments and share school’s approach with parents.</w:t>
            </w:r>
          </w:p>
          <w:p w14:paraId="620209F2" w14:textId="12143C83" w:rsidR="00BF2812" w:rsidRPr="00BF2812" w:rsidRDefault="00BF2812" w:rsidP="00BF2812">
            <w:pPr>
              <w:rPr>
                <w:sz w:val="22"/>
                <w:szCs w:val="22"/>
              </w:rPr>
            </w:pPr>
            <w:r w:rsidRPr="00BF2812">
              <w:rPr>
                <w:sz w:val="22"/>
                <w:szCs w:val="22"/>
              </w:rPr>
              <w:t>Attendance Autumn 2020 was good</w:t>
            </w:r>
          </w:p>
          <w:p w14:paraId="04E618F1" w14:textId="24341D0D" w:rsidR="00BF2812" w:rsidRPr="00BF2812" w:rsidRDefault="00BF2812" w:rsidP="00BF2812">
            <w:pPr>
              <w:rPr>
                <w:sz w:val="22"/>
                <w:szCs w:val="22"/>
              </w:rPr>
            </w:pPr>
          </w:p>
        </w:tc>
        <w:tc>
          <w:tcPr>
            <w:tcW w:w="5024" w:type="dxa"/>
            <w:gridSpan w:val="2"/>
          </w:tcPr>
          <w:p w14:paraId="0A577852" w14:textId="76B12866" w:rsidR="00BF2812" w:rsidRPr="00BF2812" w:rsidRDefault="00BF2812" w:rsidP="00BF2812">
            <w:pPr>
              <w:rPr>
                <w:sz w:val="22"/>
                <w:szCs w:val="22"/>
              </w:rPr>
            </w:pPr>
            <w:r w:rsidRPr="00BF2812">
              <w:rPr>
                <w:sz w:val="22"/>
                <w:szCs w:val="22"/>
              </w:rPr>
              <w:t>Attendance for this group was good throughout the lockdowns but other disadvantaged pupils’ attendance was affected by other factors</w:t>
            </w:r>
          </w:p>
        </w:tc>
      </w:tr>
      <w:tr w:rsidR="004148F1" w:rsidRPr="00810CB0" w14:paraId="4D042F1F" w14:textId="77777777" w:rsidTr="54FCDADF">
        <w:tc>
          <w:tcPr>
            <w:tcW w:w="1838" w:type="dxa"/>
          </w:tcPr>
          <w:p w14:paraId="328ABF9B" w14:textId="758CC302" w:rsidR="004148F1" w:rsidRPr="004148F1" w:rsidRDefault="004148F1" w:rsidP="004148F1">
            <w:pPr>
              <w:rPr>
                <w:sz w:val="22"/>
                <w:szCs w:val="22"/>
              </w:rPr>
            </w:pPr>
            <w:r w:rsidRPr="004148F1">
              <w:rPr>
                <w:sz w:val="22"/>
                <w:szCs w:val="22"/>
              </w:rPr>
              <w:t>Developmental trauma</w:t>
            </w:r>
          </w:p>
        </w:tc>
        <w:tc>
          <w:tcPr>
            <w:tcW w:w="1843" w:type="dxa"/>
          </w:tcPr>
          <w:p w14:paraId="0FE5597B" w14:textId="28720051" w:rsidR="004148F1" w:rsidRPr="004148F1" w:rsidRDefault="004148F1" w:rsidP="004148F1">
            <w:pPr>
              <w:rPr>
                <w:sz w:val="22"/>
                <w:szCs w:val="22"/>
              </w:rPr>
            </w:pPr>
            <w:r w:rsidRPr="004148F1">
              <w:rPr>
                <w:sz w:val="22"/>
                <w:szCs w:val="22"/>
              </w:rPr>
              <w:t>Liaison with families and other agencies</w:t>
            </w:r>
          </w:p>
        </w:tc>
        <w:tc>
          <w:tcPr>
            <w:tcW w:w="5245" w:type="dxa"/>
          </w:tcPr>
          <w:p w14:paraId="6CA671B0" w14:textId="2E74A4CD" w:rsidR="004148F1" w:rsidRPr="004148F1" w:rsidRDefault="004148F1" w:rsidP="004148F1">
            <w:pPr>
              <w:rPr>
                <w:sz w:val="22"/>
                <w:szCs w:val="22"/>
              </w:rPr>
            </w:pPr>
            <w:r w:rsidRPr="004148F1">
              <w:rPr>
                <w:sz w:val="22"/>
                <w:szCs w:val="22"/>
              </w:rPr>
              <w:t>Work with agencies to tailor to pupils’ needs has meant that some pupils’ behaviour has improved in the home and at school</w:t>
            </w:r>
          </w:p>
        </w:tc>
        <w:tc>
          <w:tcPr>
            <w:tcW w:w="5024" w:type="dxa"/>
            <w:gridSpan w:val="2"/>
          </w:tcPr>
          <w:p w14:paraId="48645B02" w14:textId="67EDBEAD" w:rsidR="004148F1" w:rsidRPr="004148F1" w:rsidRDefault="004148F1" w:rsidP="004148F1">
            <w:pPr>
              <w:rPr>
                <w:sz w:val="22"/>
                <w:szCs w:val="22"/>
              </w:rPr>
            </w:pPr>
            <w:r w:rsidRPr="004148F1">
              <w:rPr>
                <w:sz w:val="22"/>
                <w:szCs w:val="22"/>
              </w:rPr>
              <w:t xml:space="preserve">Continue to work closely with other agencies to support </w:t>
            </w:r>
          </w:p>
        </w:tc>
      </w:tr>
      <w:tr w:rsidR="004B3DE6" w:rsidRPr="00810CB0" w14:paraId="2F15DF77" w14:textId="77777777" w:rsidTr="004B3DE6">
        <w:tc>
          <w:tcPr>
            <w:tcW w:w="12328" w:type="dxa"/>
            <w:gridSpan w:val="4"/>
            <w:shd w:val="clear" w:color="auto" w:fill="E2EFD9" w:themeFill="accent6" w:themeFillTint="33"/>
          </w:tcPr>
          <w:p w14:paraId="1A83BCB3" w14:textId="77777777" w:rsidR="004B3DE6" w:rsidRPr="00810CB0" w:rsidRDefault="004B3DE6" w:rsidP="004B3DE6">
            <w:pPr>
              <w:rPr>
                <w:sz w:val="22"/>
                <w:szCs w:val="22"/>
              </w:rPr>
            </w:pPr>
            <w:r w:rsidRPr="341B8075">
              <w:rPr>
                <w:sz w:val="22"/>
                <w:szCs w:val="22"/>
              </w:rPr>
              <w:t>Total budgeted cost</w:t>
            </w:r>
          </w:p>
        </w:tc>
        <w:tc>
          <w:tcPr>
            <w:tcW w:w="1622" w:type="dxa"/>
          </w:tcPr>
          <w:p w14:paraId="4AEADC65" w14:textId="77777777" w:rsidR="004B3DE6" w:rsidRPr="00810CB0" w:rsidRDefault="004B3DE6" w:rsidP="004B3DE6">
            <w:pPr>
              <w:rPr>
                <w:sz w:val="22"/>
                <w:szCs w:val="22"/>
              </w:rPr>
            </w:pPr>
            <w:r w:rsidRPr="341B8075">
              <w:rPr>
                <w:sz w:val="22"/>
                <w:szCs w:val="22"/>
              </w:rPr>
              <w:t xml:space="preserve">£15,450 </w:t>
            </w:r>
          </w:p>
        </w:tc>
      </w:tr>
    </w:tbl>
    <w:p w14:paraId="7C1C54EA" w14:textId="441E8278" w:rsidR="00263CE0" w:rsidRDefault="00263CE0" w:rsidP="00856D6D">
      <w:pPr>
        <w:rPr>
          <w:color w:val="FF0000"/>
        </w:rPr>
      </w:pPr>
    </w:p>
    <w:p w14:paraId="61801C05" w14:textId="77777777" w:rsidR="004B3DE6" w:rsidRPr="00810CB0" w:rsidRDefault="004B3DE6" w:rsidP="00856D6D">
      <w:pPr>
        <w:rPr>
          <w:color w:val="FF0000"/>
        </w:rPr>
      </w:pPr>
    </w:p>
    <w:p w14:paraId="17914EC7" w14:textId="0E8EA05B" w:rsidR="00EF5600" w:rsidRPr="00810CB0" w:rsidRDefault="00EF5600" w:rsidP="00856D6D">
      <w:pPr>
        <w:rPr>
          <w:color w:val="FF0000"/>
        </w:rPr>
      </w:pPr>
    </w:p>
    <w:p w14:paraId="0316C722" w14:textId="7299ED73" w:rsidR="00EF5600" w:rsidRDefault="00EF5600" w:rsidP="00856D6D">
      <w:pPr>
        <w:rPr>
          <w:color w:val="FF0000"/>
        </w:rPr>
      </w:pPr>
    </w:p>
    <w:p w14:paraId="163751FC" w14:textId="77777777" w:rsidR="004148F1" w:rsidRPr="00810CB0" w:rsidRDefault="004148F1" w:rsidP="00856D6D">
      <w:pPr>
        <w:rPr>
          <w:color w:val="FF0000"/>
        </w:rPr>
      </w:pPr>
    </w:p>
    <w:tbl>
      <w:tblPr>
        <w:tblStyle w:val="TableGrid"/>
        <w:tblW w:w="0" w:type="auto"/>
        <w:tblLook w:val="04A0" w:firstRow="1" w:lastRow="0" w:firstColumn="1" w:lastColumn="0" w:noHBand="0" w:noVBand="1"/>
      </w:tblPr>
      <w:tblGrid>
        <w:gridCol w:w="13950"/>
      </w:tblGrid>
      <w:tr w:rsidR="00810CB0" w:rsidRPr="00810CB0" w14:paraId="7DFDC92E" w14:textId="77777777" w:rsidTr="00241B38">
        <w:tc>
          <w:tcPr>
            <w:tcW w:w="13950" w:type="dxa"/>
            <w:shd w:val="clear" w:color="auto" w:fill="E2EFD9" w:themeFill="accent6" w:themeFillTint="33"/>
          </w:tcPr>
          <w:p w14:paraId="4A3C14FB" w14:textId="2E95D81A" w:rsidR="00856D6D" w:rsidRPr="002B299C" w:rsidRDefault="00856D6D" w:rsidP="00D32CCD">
            <w:pPr>
              <w:pStyle w:val="ListParagraph"/>
              <w:numPr>
                <w:ilvl w:val="0"/>
                <w:numId w:val="2"/>
              </w:numPr>
            </w:pPr>
            <w:r w:rsidRPr="002B299C">
              <w:t>Additional detail</w:t>
            </w:r>
          </w:p>
        </w:tc>
      </w:tr>
      <w:tr w:rsidR="00914E57" w:rsidRPr="00810CB0" w14:paraId="2695FFFF" w14:textId="77777777" w:rsidTr="00856D6D">
        <w:tc>
          <w:tcPr>
            <w:tcW w:w="13950" w:type="dxa"/>
          </w:tcPr>
          <w:p w14:paraId="0C1BEE6A" w14:textId="4C7B9BB7" w:rsidR="004B3DE6" w:rsidRPr="002B299C" w:rsidRDefault="00370A19" w:rsidP="00E665E9">
            <w:r w:rsidRPr="002B299C">
              <w:t>TAs are well-trained to ensure that classroom support enables learning</w:t>
            </w:r>
            <w:r w:rsidR="00E665E9" w:rsidRPr="002B299C">
              <w:t xml:space="preserve">. Additional support has shifted to in-class provision, to ensure that it is aligned to class curriculum, unless specific interventions indicated. This is reviewed at least termly. The Emotional Learning Support Assistant </w:t>
            </w:r>
            <w:r w:rsidRPr="002B299C">
              <w:t>w</w:t>
            </w:r>
            <w:r w:rsidR="002B299C">
              <w:t>orks w</w:t>
            </w:r>
            <w:r w:rsidRPr="002B299C">
              <w:t xml:space="preserve">ith </w:t>
            </w:r>
            <w:r w:rsidR="00E665E9" w:rsidRPr="002B299C">
              <w:t xml:space="preserve">some </w:t>
            </w:r>
            <w:r w:rsidRPr="002B299C">
              <w:t xml:space="preserve">vulnerable pupils, having completed ELSA training, yet continues to have </w:t>
            </w:r>
            <w:r w:rsidR="00E665E9" w:rsidRPr="002B299C">
              <w:t>half-</w:t>
            </w:r>
            <w:r w:rsidRPr="002B299C">
              <w:t>termly professional supervision from Educational Psychologist. Teachers identify vulnerable groups on planning, including PPG.  Pupils, in this group, are given priority for enrichment opportunities and clubs to encourage width of opportunity and provide challenge.  This includes music and sport (and</w:t>
            </w:r>
            <w:r w:rsidR="00E665E9" w:rsidRPr="002B299C">
              <w:t>, in the past,</w:t>
            </w:r>
            <w:r w:rsidRPr="002B299C">
              <w:t xml:space="preserve"> additional swimming for non-swimmers).</w:t>
            </w:r>
          </w:p>
        </w:tc>
      </w:tr>
    </w:tbl>
    <w:p w14:paraId="44F4D41D" w14:textId="77777777" w:rsidR="00856D6D" w:rsidRPr="00810CB0" w:rsidRDefault="00856D6D">
      <w:pPr>
        <w:rPr>
          <w:color w:val="FF0000"/>
        </w:rPr>
      </w:pPr>
    </w:p>
    <w:sectPr w:rsidR="00856D6D" w:rsidRPr="00810CB0" w:rsidSect="003D55A6">
      <w:headerReference w:type="default" r:id="rId11"/>
      <w:footerReference w:type="default" r:id="rId12"/>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C19A3" w14:textId="77777777" w:rsidR="004B3DE6" w:rsidRDefault="004B3DE6" w:rsidP="003D55A6">
      <w:r>
        <w:separator/>
      </w:r>
    </w:p>
  </w:endnote>
  <w:endnote w:type="continuationSeparator" w:id="0">
    <w:p w14:paraId="255E22CE" w14:textId="77777777" w:rsidR="004B3DE6" w:rsidRDefault="004B3DE6" w:rsidP="003D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873146"/>
      <w:docPartObj>
        <w:docPartGallery w:val="Page Numbers (Bottom of Page)"/>
        <w:docPartUnique/>
      </w:docPartObj>
    </w:sdtPr>
    <w:sdtEndPr>
      <w:rPr>
        <w:noProof/>
      </w:rPr>
    </w:sdtEndPr>
    <w:sdtContent>
      <w:p w14:paraId="0317B7E2" w14:textId="26A587B0" w:rsidR="004B3DE6" w:rsidRDefault="004B3DE6">
        <w:pPr>
          <w:pStyle w:val="Footer"/>
        </w:pPr>
        <w:r>
          <w:fldChar w:fldCharType="begin"/>
        </w:r>
        <w:r>
          <w:instrText xml:space="preserve"> PAGE   \* MERGEFORMAT </w:instrText>
        </w:r>
        <w:r>
          <w:fldChar w:fldCharType="separate"/>
        </w:r>
        <w:r w:rsidR="0061359D">
          <w:rPr>
            <w:noProof/>
          </w:rPr>
          <w:t>2</w:t>
        </w:r>
        <w:r>
          <w:rPr>
            <w:noProof/>
          </w:rPr>
          <w:fldChar w:fldCharType="end"/>
        </w:r>
      </w:p>
    </w:sdtContent>
  </w:sdt>
  <w:p w14:paraId="523971BD" w14:textId="5EA88C35" w:rsidR="004B3DE6" w:rsidRDefault="004B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7AB89" w14:textId="77777777" w:rsidR="004B3DE6" w:rsidRDefault="004B3DE6" w:rsidP="003D55A6">
      <w:r>
        <w:separator/>
      </w:r>
    </w:p>
  </w:footnote>
  <w:footnote w:type="continuationSeparator" w:id="0">
    <w:p w14:paraId="2151072F" w14:textId="77777777" w:rsidR="004B3DE6" w:rsidRDefault="004B3DE6" w:rsidP="003D5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3C637" w14:textId="5FD62C18" w:rsidR="0061359D" w:rsidRDefault="0061359D" w:rsidP="003D55A6">
    <w:pPr>
      <w:pStyle w:val="Header"/>
      <w:jc w:val="center"/>
      <w:rPr>
        <w:sz w:val="28"/>
        <w:szCs w:val="28"/>
      </w:rPr>
    </w:pPr>
    <w:r>
      <w:rPr>
        <w:sz w:val="28"/>
        <w:szCs w:val="28"/>
      </w:rPr>
      <w:t>Harting CofE</w:t>
    </w:r>
  </w:p>
  <w:p w14:paraId="7F78897D" w14:textId="784D0E5C" w:rsidR="0061359D" w:rsidRDefault="004B3DE6" w:rsidP="003D55A6">
    <w:pPr>
      <w:pStyle w:val="Header"/>
      <w:jc w:val="center"/>
      <w:rPr>
        <w:sz w:val="28"/>
        <w:szCs w:val="28"/>
      </w:rPr>
    </w:pPr>
    <w:r w:rsidRPr="003D55A6">
      <w:rPr>
        <w:sz w:val="28"/>
        <w:szCs w:val="28"/>
      </w:rPr>
      <w:t>Pupil Premium Strategy</w:t>
    </w:r>
    <w:r w:rsidR="0061359D">
      <w:rPr>
        <w:sz w:val="28"/>
        <w:szCs w:val="28"/>
      </w:rPr>
      <w:t xml:space="preserve"> Review</w:t>
    </w:r>
  </w:p>
  <w:p w14:paraId="3F2CE9E4" w14:textId="5F1E7E2E" w:rsidR="0061359D" w:rsidRDefault="0061359D" w:rsidP="003D55A6">
    <w:pPr>
      <w:pStyle w:val="Header"/>
      <w:jc w:val="center"/>
      <w:rPr>
        <w:sz w:val="28"/>
        <w:szCs w:val="28"/>
      </w:rPr>
    </w:pPr>
    <w:r>
      <w:rPr>
        <w:sz w:val="28"/>
        <w:szCs w:val="28"/>
      </w:rPr>
      <w:t>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3A10"/>
    <w:multiLevelType w:val="hybridMultilevel"/>
    <w:tmpl w:val="9620EC78"/>
    <w:lvl w:ilvl="0" w:tplc="C2025CC6">
      <w:start w:val="20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13130"/>
    <w:multiLevelType w:val="hybridMultilevel"/>
    <w:tmpl w:val="7D72EA4A"/>
    <w:lvl w:ilvl="0" w:tplc="D18C9C88">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60291"/>
    <w:multiLevelType w:val="hybridMultilevel"/>
    <w:tmpl w:val="178A5ABA"/>
    <w:lvl w:ilvl="0" w:tplc="8B80373A">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90C28"/>
    <w:multiLevelType w:val="hybridMultilevel"/>
    <w:tmpl w:val="E276578C"/>
    <w:lvl w:ilvl="0" w:tplc="DA4A0A56">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47E00"/>
    <w:multiLevelType w:val="hybridMultilevel"/>
    <w:tmpl w:val="4F98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E6B40"/>
    <w:multiLevelType w:val="hybridMultilevel"/>
    <w:tmpl w:val="8A682F9A"/>
    <w:lvl w:ilvl="0" w:tplc="6F4412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D16DD"/>
    <w:multiLevelType w:val="hybridMultilevel"/>
    <w:tmpl w:val="B970A34E"/>
    <w:lvl w:ilvl="0" w:tplc="C79413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616D5"/>
    <w:multiLevelType w:val="hybridMultilevel"/>
    <w:tmpl w:val="344A471E"/>
    <w:lvl w:ilvl="0" w:tplc="561625F2">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15988"/>
    <w:multiLevelType w:val="hybridMultilevel"/>
    <w:tmpl w:val="4F98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50C1E"/>
    <w:multiLevelType w:val="hybridMultilevel"/>
    <w:tmpl w:val="8A8EFAFC"/>
    <w:lvl w:ilvl="0" w:tplc="2522F24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16C60"/>
    <w:multiLevelType w:val="hybridMultilevel"/>
    <w:tmpl w:val="84D67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13285"/>
    <w:multiLevelType w:val="hybridMultilevel"/>
    <w:tmpl w:val="8D3E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71B74"/>
    <w:multiLevelType w:val="hybridMultilevel"/>
    <w:tmpl w:val="3B160658"/>
    <w:lvl w:ilvl="0" w:tplc="A5D21A0A">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6"/>
  </w:num>
  <w:num w:numId="6">
    <w:abstractNumId w:val="8"/>
  </w:num>
  <w:num w:numId="7">
    <w:abstractNumId w:val="11"/>
  </w:num>
  <w:num w:numId="8">
    <w:abstractNumId w:val="2"/>
  </w:num>
  <w:num w:numId="9">
    <w:abstractNumId w:val="9"/>
  </w:num>
  <w:num w:numId="10">
    <w:abstractNumId w:val="12"/>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A6"/>
    <w:rsid w:val="00027099"/>
    <w:rsid w:val="00031382"/>
    <w:rsid w:val="00036185"/>
    <w:rsid w:val="00063262"/>
    <w:rsid w:val="00064C28"/>
    <w:rsid w:val="0008055E"/>
    <w:rsid w:val="00082E93"/>
    <w:rsid w:val="00095F0E"/>
    <w:rsid w:val="000A3145"/>
    <w:rsid w:val="000A428A"/>
    <w:rsid w:val="000A7141"/>
    <w:rsid w:val="000C356E"/>
    <w:rsid w:val="000C6CBE"/>
    <w:rsid w:val="0010024A"/>
    <w:rsid w:val="00102979"/>
    <w:rsid w:val="00111518"/>
    <w:rsid w:val="001116F2"/>
    <w:rsid w:val="001161BD"/>
    <w:rsid w:val="00122B8A"/>
    <w:rsid w:val="00123F11"/>
    <w:rsid w:val="00135E9A"/>
    <w:rsid w:val="001558CD"/>
    <w:rsid w:val="001614F1"/>
    <w:rsid w:val="001655D6"/>
    <w:rsid w:val="001703E7"/>
    <w:rsid w:val="00173616"/>
    <w:rsid w:val="00182C60"/>
    <w:rsid w:val="001A412A"/>
    <w:rsid w:val="001B6A4D"/>
    <w:rsid w:val="001D0A18"/>
    <w:rsid w:val="001F3F70"/>
    <w:rsid w:val="0020749C"/>
    <w:rsid w:val="00213EBC"/>
    <w:rsid w:val="00215364"/>
    <w:rsid w:val="00224343"/>
    <w:rsid w:val="0023230A"/>
    <w:rsid w:val="00233A26"/>
    <w:rsid w:val="00241B38"/>
    <w:rsid w:val="0026027D"/>
    <w:rsid w:val="00263CE0"/>
    <w:rsid w:val="00295AF0"/>
    <w:rsid w:val="00297C8F"/>
    <w:rsid w:val="002A5F54"/>
    <w:rsid w:val="002B299C"/>
    <w:rsid w:val="002B6352"/>
    <w:rsid w:val="002C3C08"/>
    <w:rsid w:val="002C6921"/>
    <w:rsid w:val="002D59F3"/>
    <w:rsid w:val="002E1D59"/>
    <w:rsid w:val="002F7B73"/>
    <w:rsid w:val="00302748"/>
    <w:rsid w:val="00304656"/>
    <w:rsid w:val="00322A5E"/>
    <w:rsid w:val="00327872"/>
    <w:rsid w:val="00331D13"/>
    <w:rsid w:val="003356AC"/>
    <w:rsid w:val="00344C8A"/>
    <w:rsid w:val="00350C1B"/>
    <w:rsid w:val="00354FEF"/>
    <w:rsid w:val="00357E60"/>
    <w:rsid w:val="00362FA9"/>
    <w:rsid w:val="00370A19"/>
    <w:rsid w:val="00382E42"/>
    <w:rsid w:val="00390881"/>
    <w:rsid w:val="00391615"/>
    <w:rsid w:val="00393225"/>
    <w:rsid w:val="00395734"/>
    <w:rsid w:val="003A2F4D"/>
    <w:rsid w:val="003C40D0"/>
    <w:rsid w:val="003C72D0"/>
    <w:rsid w:val="003D55A6"/>
    <w:rsid w:val="003F08B7"/>
    <w:rsid w:val="003F6FB2"/>
    <w:rsid w:val="00400E97"/>
    <w:rsid w:val="00403D2C"/>
    <w:rsid w:val="004055EB"/>
    <w:rsid w:val="00413E76"/>
    <w:rsid w:val="004148F1"/>
    <w:rsid w:val="00423DD0"/>
    <w:rsid w:val="00442E35"/>
    <w:rsid w:val="0044423A"/>
    <w:rsid w:val="00456F63"/>
    <w:rsid w:val="0046542A"/>
    <w:rsid w:val="00481790"/>
    <w:rsid w:val="0048770A"/>
    <w:rsid w:val="00490008"/>
    <w:rsid w:val="00493245"/>
    <w:rsid w:val="004A4CAF"/>
    <w:rsid w:val="004A737B"/>
    <w:rsid w:val="004B2BAD"/>
    <w:rsid w:val="004B3DE6"/>
    <w:rsid w:val="004D04B6"/>
    <w:rsid w:val="004E2021"/>
    <w:rsid w:val="004F2A23"/>
    <w:rsid w:val="004F3307"/>
    <w:rsid w:val="00502873"/>
    <w:rsid w:val="00522F61"/>
    <w:rsid w:val="005241C1"/>
    <w:rsid w:val="00531460"/>
    <w:rsid w:val="00541360"/>
    <w:rsid w:val="00542133"/>
    <w:rsid w:val="00551735"/>
    <w:rsid w:val="005571F0"/>
    <w:rsid w:val="00561D9D"/>
    <w:rsid w:val="00580408"/>
    <w:rsid w:val="0058149F"/>
    <w:rsid w:val="005862AA"/>
    <w:rsid w:val="00596817"/>
    <w:rsid w:val="005A521C"/>
    <w:rsid w:val="005A5A97"/>
    <w:rsid w:val="005A7D91"/>
    <w:rsid w:val="005D78A2"/>
    <w:rsid w:val="006052C9"/>
    <w:rsid w:val="00605350"/>
    <w:rsid w:val="0061359D"/>
    <w:rsid w:val="0061733A"/>
    <w:rsid w:val="00642480"/>
    <w:rsid w:val="006463E5"/>
    <w:rsid w:val="00650C41"/>
    <w:rsid w:val="00660372"/>
    <w:rsid w:val="00687269"/>
    <w:rsid w:val="00693519"/>
    <w:rsid w:val="006A02FE"/>
    <w:rsid w:val="006A0ED4"/>
    <w:rsid w:val="006A2041"/>
    <w:rsid w:val="006D2CC2"/>
    <w:rsid w:val="006D7863"/>
    <w:rsid w:val="006E400D"/>
    <w:rsid w:val="006E4297"/>
    <w:rsid w:val="006E4DE6"/>
    <w:rsid w:val="006F459C"/>
    <w:rsid w:val="00703639"/>
    <w:rsid w:val="00705896"/>
    <w:rsid w:val="00715718"/>
    <w:rsid w:val="00724816"/>
    <w:rsid w:val="00744CFD"/>
    <w:rsid w:val="00747FD2"/>
    <w:rsid w:val="0075205B"/>
    <w:rsid w:val="007572B1"/>
    <w:rsid w:val="00762733"/>
    <w:rsid w:val="00797A9F"/>
    <w:rsid w:val="007B6E9E"/>
    <w:rsid w:val="007D4932"/>
    <w:rsid w:val="007D5ABF"/>
    <w:rsid w:val="007E190F"/>
    <w:rsid w:val="007E27DA"/>
    <w:rsid w:val="00810CB0"/>
    <w:rsid w:val="00817A58"/>
    <w:rsid w:val="00817EB9"/>
    <w:rsid w:val="00820AA5"/>
    <w:rsid w:val="008450B5"/>
    <w:rsid w:val="00851F95"/>
    <w:rsid w:val="00854EAB"/>
    <w:rsid w:val="00856D6D"/>
    <w:rsid w:val="00871E09"/>
    <w:rsid w:val="00885A5C"/>
    <w:rsid w:val="008A1493"/>
    <w:rsid w:val="008B0D28"/>
    <w:rsid w:val="008B24B9"/>
    <w:rsid w:val="008C1415"/>
    <w:rsid w:val="008C6DE9"/>
    <w:rsid w:val="008D4A69"/>
    <w:rsid w:val="008E60C0"/>
    <w:rsid w:val="009037F0"/>
    <w:rsid w:val="00914E57"/>
    <w:rsid w:val="00916E4C"/>
    <w:rsid w:val="00944644"/>
    <w:rsid w:val="00945769"/>
    <w:rsid w:val="00951048"/>
    <w:rsid w:val="00961E78"/>
    <w:rsid w:val="00967FA5"/>
    <w:rsid w:val="00970804"/>
    <w:rsid w:val="009746A5"/>
    <w:rsid w:val="0098523A"/>
    <w:rsid w:val="009864F8"/>
    <w:rsid w:val="009A38CC"/>
    <w:rsid w:val="009C18E8"/>
    <w:rsid w:val="009C6AC2"/>
    <w:rsid w:val="009D1413"/>
    <w:rsid w:val="009D3AD1"/>
    <w:rsid w:val="009E1369"/>
    <w:rsid w:val="009E6C46"/>
    <w:rsid w:val="009F1604"/>
    <w:rsid w:val="00A12E8E"/>
    <w:rsid w:val="00A1387E"/>
    <w:rsid w:val="00A22E6D"/>
    <w:rsid w:val="00A24FB4"/>
    <w:rsid w:val="00A2544F"/>
    <w:rsid w:val="00A354D0"/>
    <w:rsid w:val="00A42DE0"/>
    <w:rsid w:val="00A6726E"/>
    <w:rsid w:val="00A711BA"/>
    <w:rsid w:val="00A752A0"/>
    <w:rsid w:val="00B020FB"/>
    <w:rsid w:val="00B12F6A"/>
    <w:rsid w:val="00B133B9"/>
    <w:rsid w:val="00B237B4"/>
    <w:rsid w:val="00B25D39"/>
    <w:rsid w:val="00B34F83"/>
    <w:rsid w:val="00B40498"/>
    <w:rsid w:val="00B4237C"/>
    <w:rsid w:val="00B43C7E"/>
    <w:rsid w:val="00B53DC8"/>
    <w:rsid w:val="00B61CE9"/>
    <w:rsid w:val="00B644E2"/>
    <w:rsid w:val="00B71217"/>
    <w:rsid w:val="00B8489D"/>
    <w:rsid w:val="00B87A45"/>
    <w:rsid w:val="00BA4E28"/>
    <w:rsid w:val="00BA681C"/>
    <w:rsid w:val="00BB6C6F"/>
    <w:rsid w:val="00BC2A6E"/>
    <w:rsid w:val="00BC4547"/>
    <w:rsid w:val="00BC71B3"/>
    <w:rsid w:val="00BE6649"/>
    <w:rsid w:val="00BF18CB"/>
    <w:rsid w:val="00BF2812"/>
    <w:rsid w:val="00C05CA9"/>
    <w:rsid w:val="00C132EA"/>
    <w:rsid w:val="00C22610"/>
    <w:rsid w:val="00C2302F"/>
    <w:rsid w:val="00C30272"/>
    <w:rsid w:val="00C435D2"/>
    <w:rsid w:val="00C443B2"/>
    <w:rsid w:val="00C457F5"/>
    <w:rsid w:val="00C4661A"/>
    <w:rsid w:val="00C5526A"/>
    <w:rsid w:val="00C57362"/>
    <w:rsid w:val="00C6658F"/>
    <w:rsid w:val="00C760D7"/>
    <w:rsid w:val="00C83D5E"/>
    <w:rsid w:val="00C95858"/>
    <w:rsid w:val="00C95DFF"/>
    <w:rsid w:val="00CA160D"/>
    <w:rsid w:val="00CB7FDA"/>
    <w:rsid w:val="00CE695F"/>
    <w:rsid w:val="00CF42F0"/>
    <w:rsid w:val="00D01268"/>
    <w:rsid w:val="00D05BF3"/>
    <w:rsid w:val="00D12962"/>
    <w:rsid w:val="00D16692"/>
    <w:rsid w:val="00D270DA"/>
    <w:rsid w:val="00D27908"/>
    <w:rsid w:val="00D32680"/>
    <w:rsid w:val="00D32CCD"/>
    <w:rsid w:val="00D67FCF"/>
    <w:rsid w:val="00D70431"/>
    <w:rsid w:val="00D70BBC"/>
    <w:rsid w:val="00D74E67"/>
    <w:rsid w:val="00D90FBF"/>
    <w:rsid w:val="00D9349C"/>
    <w:rsid w:val="00DA0D54"/>
    <w:rsid w:val="00DA2C12"/>
    <w:rsid w:val="00DA6B7A"/>
    <w:rsid w:val="00DC0CED"/>
    <w:rsid w:val="00DC5E69"/>
    <w:rsid w:val="00DD1078"/>
    <w:rsid w:val="00DE2908"/>
    <w:rsid w:val="00DE32FD"/>
    <w:rsid w:val="00DF06CF"/>
    <w:rsid w:val="00DF4AB6"/>
    <w:rsid w:val="00DF6220"/>
    <w:rsid w:val="00E01E2F"/>
    <w:rsid w:val="00E26869"/>
    <w:rsid w:val="00E27A39"/>
    <w:rsid w:val="00E27BE3"/>
    <w:rsid w:val="00E30E54"/>
    <w:rsid w:val="00E31CB2"/>
    <w:rsid w:val="00E41753"/>
    <w:rsid w:val="00E54865"/>
    <w:rsid w:val="00E60F2C"/>
    <w:rsid w:val="00E65997"/>
    <w:rsid w:val="00E665E9"/>
    <w:rsid w:val="00EB1568"/>
    <w:rsid w:val="00EB490B"/>
    <w:rsid w:val="00EB59D7"/>
    <w:rsid w:val="00EB7C78"/>
    <w:rsid w:val="00EC3B15"/>
    <w:rsid w:val="00EC3EA9"/>
    <w:rsid w:val="00EC55D4"/>
    <w:rsid w:val="00EE4430"/>
    <w:rsid w:val="00EF1DC3"/>
    <w:rsid w:val="00EF26B3"/>
    <w:rsid w:val="00EF51DC"/>
    <w:rsid w:val="00EF5600"/>
    <w:rsid w:val="00F00034"/>
    <w:rsid w:val="00F02AC2"/>
    <w:rsid w:val="00F05D14"/>
    <w:rsid w:val="00F27869"/>
    <w:rsid w:val="00F60976"/>
    <w:rsid w:val="00F66235"/>
    <w:rsid w:val="00FA1B09"/>
    <w:rsid w:val="00FA20DF"/>
    <w:rsid w:val="00FA32CC"/>
    <w:rsid w:val="00FE0D22"/>
    <w:rsid w:val="00FF0A63"/>
    <w:rsid w:val="00FF3958"/>
    <w:rsid w:val="04B05882"/>
    <w:rsid w:val="05AC68B3"/>
    <w:rsid w:val="061BF85B"/>
    <w:rsid w:val="06672DF4"/>
    <w:rsid w:val="0847B3EB"/>
    <w:rsid w:val="09769304"/>
    <w:rsid w:val="0A47C220"/>
    <w:rsid w:val="0ABC0220"/>
    <w:rsid w:val="0AFBC160"/>
    <w:rsid w:val="0B12A229"/>
    <w:rsid w:val="0C91D928"/>
    <w:rsid w:val="12555B21"/>
    <w:rsid w:val="129A44B0"/>
    <w:rsid w:val="153AFE57"/>
    <w:rsid w:val="170FFBF8"/>
    <w:rsid w:val="175856B7"/>
    <w:rsid w:val="179983B8"/>
    <w:rsid w:val="18D5E847"/>
    <w:rsid w:val="1918FCD9"/>
    <w:rsid w:val="1A072277"/>
    <w:rsid w:val="1B5AF62E"/>
    <w:rsid w:val="1CB2A481"/>
    <w:rsid w:val="1D02973F"/>
    <w:rsid w:val="1D382733"/>
    <w:rsid w:val="1DC6E5FB"/>
    <w:rsid w:val="1F1E2462"/>
    <w:rsid w:val="21CED458"/>
    <w:rsid w:val="22DB6B25"/>
    <w:rsid w:val="232768B5"/>
    <w:rsid w:val="23CD7E27"/>
    <w:rsid w:val="23D6F908"/>
    <w:rsid w:val="248C86E8"/>
    <w:rsid w:val="25002AF1"/>
    <w:rsid w:val="25A47039"/>
    <w:rsid w:val="276C2A77"/>
    <w:rsid w:val="282F3A75"/>
    <w:rsid w:val="284EF82D"/>
    <w:rsid w:val="299F69E6"/>
    <w:rsid w:val="29F4BC82"/>
    <w:rsid w:val="2A47655F"/>
    <w:rsid w:val="2B10454D"/>
    <w:rsid w:val="2C53C404"/>
    <w:rsid w:val="2CF6B6CB"/>
    <w:rsid w:val="2D5AA92F"/>
    <w:rsid w:val="2E3596D0"/>
    <w:rsid w:val="2EF27ED3"/>
    <w:rsid w:val="2F068094"/>
    <w:rsid w:val="2FD83E53"/>
    <w:rsid w:val="30B2D0DD"/>
    <w:rsid w:val="3310C3CD"/>
    <w:rsid w:val="341B8075"/>
    <w:rsid w:val="344CA27B"/>
    <w:rsid w:val="37A235F5"/>
    <w:rsid w:val="37EA10AD"/>
    <w:rsid w:val="386ABAE1"/>
    <w:rsid w:val="3A409FDE"/>
    <w:rsid w:val="3AE58E9D"/>
    <w:rsid w:val="3B0D3592"/>
    <w:rsid w:val="3B23AF69"/>
    <w:rsid w:val="3B29F76B"/>
    <w:rsid w:val="3B896CC4"/>
    <w:rsid w:val="3DA3AD2C"/>
    <w:rsid w:val="3DEA81D1"/>
    <w:rsid w:val="3E26FB5F"/>
    <w:rsid w:val="410F5F00"/>
    <w:rsid w:val="45D677E0"/>
    <w:rsid w:val="45F09133"/>
    <w:rsid w:val="46534E94"/>
    <w:rsid w:val="46CBE87D"/>
    <w:rsid w:val="4778200F"/>
    <w:rsid w:val="479A8255"/>
    <w:rsid w:val="47DCF967"/>
    <w:rsid w:val="494AE0D6"/>
    <w:rsid w:val="4B09E28B"/>
    <w:rsid w:val="4D351BEB"/>
    <w:rsid w:val="4D81A6D9"/>
    <w:rsid w:val="4DECC2C5"/>
    <w:rsid w:val="4E8B547F"/>
    <w:rsid w:val="501039CB"/>
    <w:rsid w:val="5010B033"/>
    <w:rsid w:val="514F4D8E"/>
    <w:rsid w:val="51B90AF7"/>
    <w:rsid w:val="52BBEE1A"/>
    <w:rsid w:val="54FCDADF"/>
    <w:rsid w:val="56FDC1E3"/>
    <w:rsid w:val="57A48F7A"/>
    <w:rsid w:val="58054AC0"/>
    <w:rsid w:val="5A02BB13"/>
    <w:rsid w:val="5C12B892"/>
    <w:rsid w:val="5D5AD921"/>
    <w:rsid w:val="5D9BA056"/>
    <w:rsid w:val="5F754C79"/>
    <w:rsid w:val="600085C0"/>
    <w:rsid w:val="607D4C54"/>
    <w:rsid w:val="614274D7"/>
    <w:rsid w:val="63D0DE27"/>
    <w:rsid w:val="64B1C224"/>
    <w:rsid w:val="65A6B7D1"/>
    <w:rsid w:val="667A6CAF"/>
    <w:rsid w:val="6719ED2A"/>
    <w:rsid w:val="6820D58F"/>
    <w:rsid w:val="689CE744"/>
    <w:rsid w:val="6B544E65"/>
    <w:rsid w:val="6BBD42D5"/>
    <w:rsid w:val="6C6CB803"/>
    <w:rsid w:val="6CB6B9AF"/>
    <w:rsid w:val="6CD9F0FF"/>
    <w:rsid w:val="6D4446EA"/>
    <w:rsid w:val="6D9F9B9C"/>
    <w:rsid w:val="6E759945"/>
    <w:rsid w:val="70C101FC"/>
    <w:rsid w:val="71591333"/>
    <w:rsid w:val="71AF5F84"/>
    <w:rsid w:val="73B5603D"/>
    <w:rsid w:val="75EA97D6"/>
    <w:rsid w:val="76210FD4"/>
    <w:rsid w:val="7633E54D"/>
    <w:rsid w:val="775DADE8"/>
    <w:rsid w:val="77A2B065"/>
    <w:rsid w:val="78092CFC"/>
    <w:rsid w:val="788BAE42"/>
    <w:rsid w:val="79BFA15A"/>
    <w:rsid w:val="7A44AD80"/>
    <w:rsid w:val="7ADDE8D7"/>
    <w:rsid w:val="7DA49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F9E22E"/>
  <w14:defaultImageDpi w14:val="32767"/>
  <w15:docId w15:val="{92A82FE3-8710-4787-B01E-887C310F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5A6"/>
    <w:pPr>
      <w:tabs>
        <w:tab w:val="center" w:pos="4513"/>
        <w:tab w:val="right" w:pos="9026"/>
      </w:tabs>
    </w:pPr>
  </w:style>
  <w:style w:type="character" w:customStyle="1" w:styleId="HeaderChar">
    <w:name w:val="Header Char"/>
    <w:basedOn w:val="DefaultParagraphFont"/>
    <w:link w:val="Header"/>
    <w:uiPriority w:val="99"/>
    <w:rsid w:val="003D55A6"/>
  </w:style>
  <w:style w:type="paragraph" w:styleId="Footer">
    <w:name w:val="footer"/>
    <w:basedOn w:val="Normal"/>
    <w:link w:val="FooterChar"/>
    <w:uiPriority w:val="99"/>
    <w:unhideWhenUsed/>
    <w:rsid w:val="003D55A6"/>
    <w:pPr>
      <w:tabs>
        <w:tab w:val="center" w:pos="4513"/>
        <w:tab w:val="right" w:pos="9026"/>
      </w:tabs>
    </w:pPr>
  </w:style>
  <w:style w:type="character" w:customStyle="1" w:styleId="FooterChar">
    <w:name w:val="Footer Char"/>
    <w:basedOn w:val="DefaultParagraphFont"/>
    <w:link w:val="Footer"/>
    <w:uiPriority w:val="99"/>
    <w:rsid w:val="003D55A6"/>
  </w:style>
  <w:style w:type="table" w:styleId="TableGrid">
    <w:name w:val="Table Grid"/>
    <w:basedOn w:val="TableNormal"/>
    <w:uiPriority w:val="39"/>
    <w:rsid w:val="003D5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5A6"/>
    <w:pPr>
      <w:ind w:left="720"/>
      <w:contextualSpacing/>
    </w:pPr>
  </w:style>
  <w:style w:type="paragraph" w:styleId="BalloonText">
    <w:name w:val="Balloon Text"/>
    <w:basedOn w:val="Normal"/>
    <w:link w:val="BalloonTextChar"/>
    <w:uiPriority w:val="99"/>
    <w:semiHidden/>
    <w:unhideWhenUsed/>
    <w:rsid w:val="00FE0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4482">
      <w:bodyDiv w:val="1"/>
      <w:marLeft w:val="0"/>
      <w:marRight w:val="0"/>
      <w:marTop w:val="0"/>
      <w:marBottom w:val="0"/>
      <w:divBdr>
        <w:top w:val="none" w:sz="0" w:space="0" w:color="auto"/>
        <w:left w:val="none" w:sz="0" w:space="0" w:color="auto"/>
        <w:bottom w:val="none" w:sz="0" w:space="0" w:color="auto"/>
        <w:right w:val="none" w:sz="0" w:space="0" w:color="auto"/>
      </w:divBdr>
      <w:divsChild>
        <w:div w:id="444036534">
          <w:marLeft w:val="0"/>
          <w:marRight w:val="0"/>
          <w:marTop w:val="0"/>
          <w:marBottom w:val="0"/>
          <w:divBdr>
            <w:top w:val="none" w:sz="0" w:space="0" w:color="auto"/>
            <w:left w:val="none" w:sz="0" w:space="0" w:color="auto"/>
            <w:bottom w:val="none" w:sz="0" w:space="0" w:color="auto"/>
            <w:right w:val="none" w:sz="0" w:space="0" w:color="auto"/>
          </w:divBdr>
        </w:div>
        <w:div w:id="1743482240">
          <w:marLeft w:val="0"/>
          <w:marRight w:val="0"/>
          <w:marTop w:val="0"/>
          <w:marBottom w:val="0"/>
          <w:divBdr>
            <w:top w:val="none" w:sz="0" w:space="0" w:color="auto"/>
            <w:left w:val="none" w:sz="0" w:space="0" w:color="auto"/>
            <w:bottom w:val="none" w:sz="0" w:space="0" w:color="auto"/>
            <w:right w:val="none" w:sz="0" w:space="0" w:color="auto"/>
          </w:divBdr>
        </w:div>
        <w:div w:id="1917326938">
          <w:marLeft w:val="0"/>
          <w:marRight w:val="0"/>
          <w:marTop w:val="0"/>
          <w:marBottom w:val="0"/>
          <w:divBdr>
            <w:top w:val="none" w:sz="0" w:space="0" w:color="auto"/>
            <w:left w:val="none" w:sz="0" w:space="0" w:color="auto"/>
            <w:bottom w:val="none" w:sz="0" w:space="0" w:color="auto"/>
            <w:right w:val="none" w:sz="0" w:space="0" w:color="auto"/>
          </w:divBdr>
        </w:div>
      </w:divsChild>
    </w:div>
    <w:div w:id="609436537">
      <w:bodyDiv w:val="1"/>
      <w:marLeft w:val="0"/>
      <w:marRight w:val="0"/>
      <w:marTop w:val="0"/>
      <w:marBottom w:val="0"/>
      <w:divBdr>
        <w:top w:val="none" w:sz="0" w:space="0" w:color="auto"/>
        <w:left w:val="none" w:sz="0" w:space="0" w:color="auto"/>
        <w:bottom w:val="none" w:sz="0" w:space="0" w:color="auto"/>
        <w:right w:val="none" w:sz="0" w:space="0" w:color="auto"/>
      </w:divBdr>
      <w:divsChild>
        <w:div w:id="1286427353">
          <w:marLeft w:val="0"/>
          <w:marRight w:val="0"/>
          <w:marTop w:val="0"/>
          <w:marBottom w:val="0"/>
          <w:divBdr>
            <w:top w:val="none" w:sz="0" w:space="0" w:color="auto"/>
            <w:left w:val="none" w:sz="0" w:space="0" w:color="auto"/>
            <w:bottom w:val="none" w:sz="0" w:space="0" w:color="auto"/>
            <w:right w:val="none" w:sz="0" w:space="0" w:color="auto"/>
          </w:divBdr>
        </w:div>
        <w:div w:id="22639260">
          <w:marLeft w:val="0"/>
          <w:marRight w:val="0"/>
          <w:marTop w:val="0"/>
          <w:marBottom w:val="0"/>
          <w:divBdr>
            <w:top w:val="none" w:sz="0" w:space="0" w:color="auto"/>
            <w:left w:val="none" w:sz="0" w:space="0" w:color="auto"/>
            <w:bottom w:val="none" w:sz="0" w:space="0" w:color="auto"/>
            <w:right w:val="none" w:sz="0" w:space="0" w:color="auto"/>
          </w:divBdr>
        </w:div>
        <w:div w:id="182184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1EBF6CF7D8C41B64F8FD8CC664EE9" ma:contentTypeVersion="13" ma:contentTypeDescription="Create a new document." ma:contentTypeScope="" ma:versionID="f1661c2cac30586a29ffca0a8d9bf743">
  <xsd:schema xmlns:xsd="http://www.w3.org/2001/XMLSchema" xmlns:xs="http://www.w3.org/2001/XMLSchema" xmlns:p="http://schemas.microsoft.com/office/2006/metadata/properties" xmlns:ns3="dbda91e3-d793-490e-8d55-655c2413920a" xmlns:ns4="7e7a097d-2928-4954-b9b9-51608a2dcaa1" targetNamespace="http://schemas.microsoft.com/office/2006/metadata/properties" ma:root="true" ma:fieldsID="841a26d2d6f3efa733bbc06c8bac7f33" ns3:_="" ns4:_="">
    <xsd:import namespace="dbda91e3-d793-490e-8d55-655c2413920a"/>
    <xsd:import namespace="7e7a097d-2928-4954-b9b9-51608a2dca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a91e3-d793-490e-8d55-655c2413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a097d-2928-4954-b9b9-51608a2dca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68EB-B6B0-420F-A89D-37430338F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a91e3-d793-490e-8d55-655c2413920a"/>
    <ds:schemaRef ds:uri="7e7a097d-2928-4954-b9b9-51608a2d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E132C-A385-46DE-A2BC-6B33E552E19B}">
  <ds:schemaRefs>
    <ds:schemaRef ds:uri="http://schemas.microsoft.com/sharepoint/v3/contenttype/forms"/>
  </ds:schemaRefs>
</ds:datastoreItem>
</file>

<file path=customXml/itemProps3.xml><?xml version="1.0" encoding="utf-8"?>
<ds:datastoreItem xmlns:ds="http://schemas.openxmlformats.org/officeDocument/2006/customXml" ds:itemID="{B356A69C-C93F-4AD8-88D0-0E39A6F09228}">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dbda91e3-d793-490e-8d55-655c2413920a"/>
    <ds:schemaRef ds:uri="http://purl.org/dc/elements/1.1/"/>
    <ds:schemaRef ds:uri="http://purl.org/dc/dcmitype/"/>
    <ds:schemaRef ds:uri="http://purl.org/dc/terms/"/>
    <ds:schemaRef ds:uri="http://www.w3.org/XML/1998/namespace"/>
    <ds:schemaRef ds:uri="7e7a097d-2928-4954-b9b9-51608a2dcaa1"/>
  </ds:schemaRefs>
</ds:datastoreItem>
</file>

<file path=customXml/itemProps4.xml><?xml version="1.0" encoding="utf-8"?>
<ds:datastoreItem xmlns:ds="http://schemas.openxmlformats.org/officeDocument/2006/customXml" ds:itemID="{F579D245-C766-4865-9833-DF3AF3AD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Mullett</dc:creator>
  <cp:lastModifiedBy>head@st-mary-st-paul.w-sussex.sch.uk</cp:lastModifiedBy>
  <cp:revision>2</cp:revision>
  <cp:lastPrinted>2021-07-15T17:07:00Z</cp:lastPrinted>
  <dcterms:created xsi:type="dcterms:W3CDTF">2021-12-06T11:24:00Z</dcterms:created>
  <dcterms:modified xsi:type="dcterms:W3CDTF">2021-12-06T11:24:00Z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0x0101009B61EBF6CF7D8C41B64F8FD8CC664EE9</vt:lpwstr>
  </property>
</Properties>
</file>