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7F" w:rsidRDefault="00E0237F" w:rsidP="00E0237F">
      <w:pPr>
        <w:spacing w:after="0"/>
        <w:ind w:left="3898"/>
      </w:pPr>
      <w:r>
        <w:rPr>
          <w:noProof/>
          <w:lang w:eastAsia="en-GB"/>
        </w:rPr>
        <w:drawing>
          <wp:inline distT="0" distB="0" distL="0" distR="0" wp14:anchorId="00DEF41D" wp14:editId="0447A9B9">
            <wp:extent cx="800100" cy="7905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00100" cy="790575"/>
                    </a:xfrm>
                    <a:prstGeom prst="rect">
                      <a:avLst/>
                    </a:prstGeom>
                  </pic:spPr>
                </pic:pic>
              </a:graphicData>
            </a:graphic>
          </wp:inline>
        </w:drawing>
      </w:r>
    </w:p>
    <w:p w:rsidR="00E0237F" w:rsidRDefault="00E0237F" w:rsidP="00E0237F">
      <w:pPr>
        <w:spacing w:after="0"/>
        <w:ind w:left="44"/>
        <w:jc w:val="center"/>
      </w:pPr>
      <w:r>
        <w:rPr>
          <w:rFonts w:ascii="Times New Roman" w:eastAsia="Times New Roman" w:hAnsi="Times New Roman" w:cs="Times New Roman"/>
          <w:sz w:val="20"/>
        </w:rPr>
        <w:t xml:space="preserve"> </w:t>
      </w:r>
    </w:p>
    <w:p w:rsidR="00E0237F" w:rsidRDefault="00E0237F" w:rsidP="00E0237F">
      <w:pPr>
        <w:spacing w:after="296"/>
        <w:ind w:left="44"/>
        <w:jc w:val="center"/>
      </w:pPr>
      <w:r>
        <w:rPr>
          <w:rFonts w:ascii="Times New Roman" w:eastAsia="Times New Roman" w:hAnsi="Times New Roman" w:cs="Times New Roman"/>
          <w:sz w:val="20"/>
        </w:rPr>
        <w:t xml:space="preserve"> </w:t>
      </w:r>
    </w:p>
    <w:p w:rsidR="00E0237F" w:rsidRDefault="00E0237F" w:rsidP="00E0237F">
      <w:pPr>
        <w:spacing w:after="0"/>
        <w:ind w:right="24"/>
        <w:jc w:val="center"/>
      </w:pPr>
      <w:r>
        <w:rPr>
          <w:rFonts w:ascii="Cambria" w:eastAsia="Cambria" w:hAnsi="Cambria" w:cs="Cambria"/>
          <w:color w:val="17365D"/>
          <w:sz w:val="52"/>
        </w:rPr>
        <w:t xml:space="preserve">How </w:t>
      </w:r>
      <w:proofErr w:type="spellStart"/>
      <w:r>
        <w:rPr>
          <w:rFonts w:ascii="Cambria" w:eastAsia="Cambria" w:hAnsi="Cambria" w:cs="Cambria"/>
          <w:color w:val="17365D"/>
          <w:sz w:val="52"/>
        </w:rPr>
        <w:t>Harting</w:t>
      </w:r>
      <w:proofErr w:type="spellEnd"/>
      <w:r>
        <w:rPr>
          <w:rFonts w:ascii="Cambria" w:eastAsia="Cambria" w:hAnsi="Cambria" w:cs="Cambria"/>
          <w:color w:val="17365D"/>
          <w:sz w:val="52"/>
        </w:rPr>
        <w:t xml:space="preserve"> </w:t>
      </w:r>
      <w:proofErr w:type="spellStart"/>
      <w:r>
        <w:rPr>
          <w:rFonts w:ascii="Cambria" w:eastAsia="Cambria" w:hAnsi="Cambria" w:cs="Cambria"/>
          <w:color w:val="17365D"/>
          <w:sz w:val="52"/>
        </w:rPr>
        <w:t>CofE</w:t>
      </w:r>
      <w:proofErr w:type="spellEnd"/>
      <w:r>
        <w:rPr>
          <w:rFonts w:ascii="Cambria" w:eastAsia="Cambria" w:hAnsi="Cambria" w:cs="Cambria"/>
          <w:color w:val="17365D"/>
          <w:sz w:val="52"/>
        </w:rPr>
        <w:t xml:space="preserve"> Primary School  </w:t>
      </w:r>
    </w:p>
    <w:p w:rsidR="00E0237F" w:rsidRDefault="00E0237F" w:rsidP="00E0237F">
      <w:pPr>
        <w:spacing w:after="0"/>
        <w:ind w:right="11"/>
        <w:jc w:val="center"/>
        <w:rPr>
          <w:rFonts w:ascii="Cambria" w:eastAsia="Cambria" w:hAnsi="Cambria" w:cs="Cambria"/>
          <w:color w:val="17365D"/>
          <w:sz w:val="52"/>
        </w:rPr>
      </w:pPr>
      <w:r>
        <w:rPr>
          <w:rFonts w:ascii="Cambria" w:eastAsia="Cambria" w:hAnsi="Cambria" w:cs="Cambria"/>
          <w:color w:val="17365D"/>
          <w:sz w:val="52"/>
        </w:rPr>
        <w:t xml:space="preserve">complies with the </w:t>
      </w:r>
    </w:p>
    <w:p w:rsidR="00E0237F" w:rsidRDefault="00E0237F" w:rsidP="00E0237F">
      <w:pPr>
        <w:spacing w:after="0"/>
        <w:ind w:right="11"/>
        <w:jc w:val="center"/>
        <w:rPr>
          <w:rFonts w:ascii="Cambria" w:eastAsia="Cambria" w:hAnsi="Cambria" w:cs="Cambria"/>
          <w:color w:val="17365D"/>
          <w:sz w:val="52"/>
        </w:rPr>
      </w:pPr>
      <w:r>
        <w:rPr>
          <w:rFonts w:ascii="Cambria" w:eastAsia="Cambria" w:hAnsi="Cambria" w:cs="Cambria"/>
          <w:color w:val="17365D"/>
          <w:sz w:val="52"/>
        </w:rPr>
        <w:t>Public Sector Equality Duty (PSED)</w:t>
      </w: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rPr>
      </w:pPr>
    </w:p>
    <w:p w:rsidR="00E0237F" w:rsidRDefault="00E0237F" w:rsidP="00E0237F">
      <w:pPr>
        <w:spacing w:after="0"/>
        <w:ind w:right="11"/>
        <w:jc w:val="center"/>
        <w:rPr>
          <w:rFonts w:ascii="Cambria" w:eastAsia="Cambria" w:hAnsi="Cambria" w:cs="Cambria"/>
          <w:color w:val="17365D"/>
        </w:rPr>
      </w:pPr>
    </w:p>
    <w:p w:rsidR="00E0237F" w:rsidRDefault="00E0237F" w:rsidP="00E0237F">
      <w:pPr>
        <w:spacing w:after="0"/>
        <w:ind w:right="11"/>
        <w:rPr>
          <w:rFonts w:ascii="Cambria" w:eastAsia="Cambria" w:hAnsi="Cambria" w:cs="Cambria"/>
        </w:rPr>
      </w:pPr>
      <w:r w:rsidRPr="00E0237F">
        <w:rPr>
          <w:rFonts w:ascii="Cambria" w:eastAsia="Cambria" w:hAnsi="Cambria" w:cs="Cambria"/>
        </w:rPr>
        <w:t>Since April 2011</w:t>
      </w:r>
      <w:r>
        <w:rPr>
          <w:rFonts w:ascii="Cambria" w:eastAsia="Cambria" w:hAnsi="Cambria" w:cs="Cambria"/>
        </w:rPr>
        <w:t xml:space="preserve"> the equality duty extends to all aspects of a person’s identity – known as ‘protected characteristics’ – protected under the Equality Act 2010.  These are race, sex, age, religion or belief, sexual orientation, pregnancy and maternity and gender reassignment.</w:t>
      </w:r>
    </w:p>
    <w:p w:rsidR="00E0237F" w:rsidRDefault="00E0237F" w:rsidP="00E0237F">
      <w:pPr>
        <w:spacing w:after="0"/>
        <w:ind w:right="11"/>
        <w:rPr>
          <w:rFonts w:ascii="Cambria" w:eastAsia="Cambria" w:hAnsi="Cambria" w:cs="Cambria"/>
        </w:rPr>
      </w:pPr>
    </w:p>
    <w:p w:rsidR="00E0237F" w:rsidRDefault="00E0237F" w:rsidP="00E0237F">
      <w:pPr>
        <w:spacing w:after="0"/>
        <w:ind w:right="11"/>
        <w:rPr>
          <w:rFonts w:ascii="Cambria" w:eastAsia="Cambria" w:hAnsi="Cambria" w:cs="Cambria"/>
        </w:rPr>
      </w:pPr>
      <w:r>
        <w:rPr>
          <w:rFonts w:ascii="Cambria" w:eastAsia="Cambria" w:hAnsi="Cambria" w:cs="Cambria"/>
        </w:rPr>
        <w:t>General equality duties considered by the school:</w:t>
      </w:r>
    </w:p>
    <w:p w:rsidR="00E0237F" w:rsidRDefault="00E0237F" w:rsidP="00E0237F">
      <w:pPr>
        <w:pStyle w:val="ListParagraph"/>
        <w:numPr>
          <w:ilvl w:val="0"/>
          <w:numId w:val="1"/>
        </w:numPr>
        <w:spacing w:after="0"/>
        <w:ind w:right="11"/>
        <w:rPr>
          <w:rFonts w:ascii="Cambria" w:eastAsia="Cambria" w:hAnsi="Cambria" w:cs="Cambria"/>
        </w:rPr>
      </w:pPr>
      <w:r>
        <w:rPr>
          <w:rFonts w:ascii="Cambria" w:eastAsia="Cambria" w:hAnsi="Cambria" w:cs="Cambria"/>
        </w:rPr>
        <w:t>Eliminate discrimination, harassment,</w:t>
      </w:r>
      <w:r w:rsidR="00F27A7C">
        <w:rPr>
          <w:rFonts w:ascii="Cambria" w:eastAsia="Cambria" w:hAnsi="Cambria" w:cs="Cambria"/>
        </w:rPr>
        <w:t xml:space="preserve"> victimisation and other conduct</w:t>
      </w:r>
      <w:bookmarkStart w:id="0" w:name="_GoBack"/>
      <w:bookmarkEnd w:id="0"/>
      <w:r>
        <w:rPr>
          <w:rFonts w:ascii="Cambria" w:eastAsia="Cambria" w:hAnsi="Cambria" w:cs="Cambria"/>
        </w:rPr>
        <w:t xml:space="preserve"> prohibited by the Equality Act 2010</w:t>
      </w:r>
    </w:p>
    <w:p w:rsidR="00E0237F" w:rsidRDefault="00E0237F" w:rsidP="00E0237F">
      <w:pPr>
        <w:pStyle w:val="ListParagraph"/>
        <w:numPr>
          <w:ilvl w:val="0"/>
          <w:numId w:val="1"/>
        </w:numPr>
        <w:spacing w:after="0"/>
        <w:ind w:right="11"/>
        <w:rPr>
          <w:rFonts w:ascii="Cambria" w:eastAsia="Cambria" w:hAnsi="Cambria" w:cs="Cambria"/>
        </w:rPr>
      </w:pPr>
      <w:r>
        <w:rPr>
          <w:rFonts w:ascii="Cambria" w:eastAsia="Cambria" w:hAnsi="Cambria" w:cs="Cambria"/>
        </w:rPr>
        <w:t>Advance equality of opportunity between people who share a protected characteristic and people who do not share it</w:t>
      </w:r>
    </w:p>
    <w:p w:rsidR="00E0237F" w:rsidRDefault="00E0237F" w:rsidP="00E0237F">
      <w:pPr>
        <w:pStyle w:val="ListParagraph"/>
        <w:numPr>
          <w:ilvl w:val="0"/>
          <w:numId w:val="1"/>
        </w:numPr>
        <w:spacing w:after="0"/>
        <w:ind w:right="11"/>
        <w:rPr>
          <w:rFonts w:ascii="Cambria" w:eastAsia="Cambria" w:hAnsi="Cambria" w:cs="Cambria"/>
        </w:rPr>
      </w:pPr>
      <w:r>
        <w:rPr>
          <w:rFonts w:ascii="Cambria" w:eastAsia="Cambria" w:hAnsi="Cambria" w:cs="Cambria"/>
        </w:rPr>
        <w:t>Foster good relations across all protected characteristics – between people who share a protected characteristic and those who do not share it</w:t>
      </w:r>
    </w:p>
    <w:p w:rsidR="00E0237F" w:rsidRDefault="00E0237F" w:rsidP="00E0237F">
      <w:pPr>
        <w:spacing w:after="0"/>
        <w:ind w:right="11"/>
        <w:rPr>
          <w:rFonts w:ascii="Cambria" w:eastAsia="Cambria" w:hAnsi="Cambria" w:cs="Cambria"/>
        </w:rPr>
      </w:pPr>
    </w:p>
    <w:p w:rsidR="00E0237F" w:rsidRDefault="00E0237F" w:rsidP="00E0237F">
      <w:pPr>
        <w:spacing w:after="0"/>
        <w:ind w:right="11"/>
        <w:rPr>
          <w:rFonts w:ascii="Cambria" w:eastAsia="Cambria" w:hAnsi="Cambria" w:cs="Cambria"/>
        </w:rPr>
      </w:pPr>
      <w:r>
        <w:rPr>
          <w:rFonts w:ascii="Cambria" w:eastAsia="Cambria" w:hAnsi="Cambria" w:cs="Cambria"/>
        </w:rPr>
        <w:t xml:space="preserve">Due regard means that at </w:t>
      </w:r>
      <w:proofErr w:type="spellStart"/>
      <w:r>
        <w:rPr>
          <w:rFonts w:ascii="Cambria" w:eastAsia="Cambria" w:hAnsi="Cambria" w:cs="Cambria"/>
        </w:rPr>
        <w:t>Harting</w:t>
      </w:r>
      <w:proofErr w:type="spellEnd"/>
      <w:r>
        <w:rPr>
          <w:rFonts w:ascii="Cambria" w:eastAsia="Cambria" w:hAnsi="Cambria" w:cs="Cambria"/>
        </w:rPr>
        <w:t xml:space="preserve"> we:</w:t>
      </w:r>
    </w:p>
    <w:p w:rsidR="00E0237F" w:rsidRDefault="00E0237F" w:rsidP="00E0237F">
      <w:pPr>
        <w:pStyle w:val="ListParagraph"/>
        <w:numPr>
          <w:ilvl w:val="0"/>
          <w:numId w:val="2"/>
        </w:numPr>
        <w:spacing w:after="0"/>
        <w:ind w:right="11"/>
        <w:rPr>
          <w:rFonts w:ascii="Cambria" w:eastAsia="Cambria" w:hAnsi="Cambria" w:cs="Cambria"/>
        </w:rPr>
      </w:pPr>
      <w:r>
        <w:rPr>
          <w:rFonts w:ascii="Cambria" w:eastAsia="Cambria" w:hAnsi="Cambria" w:cs="Cambria"/>
        </w:rPr>
        <w:t>Remove or minimise disadvantages</w:t>
      </w:r>
    </w:p>
    <w:p w:rsidR="00E0237F" w:rsidRDefault="00E0237F" w:rsidP="00E0237F">
      <w:pPr>
        <w:pStyle w:val="ListParagraph"/>
        <w:numPr>
          <w:ilvl w:val="0"/>
          <w:numId w:val="2"/>
        </w:numPr>
        <w:spacing w:after="0"/>
        <w:ind w:right="11"/>
        <w:rPr>
          <w:rFonts w:ascii="Cambria" w:eastAsia="Cambria" w:hAnsi="Cambria" w:cs="Cambria"/>
        </w:rPr>
      </w:pPr>
      <w:r>
        <w:rPr>
          <w:rFonts w:ascii="Cambria" w:eastAsia="Cambria" w:hAnsi="Cambria" w:cs="Cambria"/>
        </w:rPr>
        <w:t>Take steps to meet different needs</w:t>
      </w:r>
    </w:p>
    <w:p w:rsidR="00E0237F" w:rsidRDefault="00E0237F" w:rsidP="00E0237F">
      <w:pPr>
        <w:pStyle w:val="ListParagraph"/>
        <w:numPr>
          <w:ilvl w:val="0"/>
          <w:numId w:val="2"/>
        </w:numPr>
        <w:spacing w:after="0"/>
        <w:ind w:right="11"/>
        <w:rPr>
          <w:rFonts w:ascii="Cambria" w:eastAsia="Cambria" w:hAnsi="Cambria" w:cs="Cambria"/>
        </w:rPr>
      </w:pPr>
      <w:r>
        <w:rPr>
          <w:rFonts w:ascii="Cambria" w:eastAsia="Cambria" w:hAnsi="Cambria" w:cs="Cambria"/>
        </w:rPr>
        <w:t>Encourage participation when it is disproportionately low</w:t>
      </w:r>
    </w:p>
    <w:p w:rsidR="00C245D5" w:rsidRDefault="00C245D5" w:rsidP="00C245D5">
      <w:pPr>
        <w:spacing w:after="0"/>
        <w:ind w:right="11"/>
        <w:rPr>
          <w:rFonts w:ascii="Cambria" w:eastAsia="Cambria" w:hAnsi="Cambria" w:cs="Cambria"/>
        </w:rPr>
      </w:pPr>
    </w:p>
    <w:p w:rsidR="00C245D5" w:rsidRDefault="00C245D5" w:rsidP="00C245D5">
      <w:pPr>
        <w:spacing w:after="0"/>
        <w:ind w:right="11"/>
        <w:rPr>
          <w:rFonts w:ascii="Cambria" w:eastAsia="Cambria" w:hAnsi="Cambria" w:cs="Cambria"/>
        </w:rPr>
      </w:pPr>
      <w:r>
        <w:rPr>
          <w:rFonts w:ascii="Cambria" w:eastAsia="Cambria" w:hAnsi="Cambria" w:cs="Cambria"/>
        </w:rPr>
        <w:t>Attainment</w:t>
      </w:r>
      <w:r w:rsidR="00461DE2">
        <w:rPr>
          <w:rFonts w:ascii="Cambria" w:eastAsia="Cambria" w:hAnsi="Cambria" w:cs="Cambria"/>
        </w:rPr>
        <w:t xml:space="preserve"> and learning</w:t>
      </w:r>
      <w:r>
        <w:rPr>
          <w:rFonts w:ascii="Cambria" w:eastAsia="Cambria" w:hAnsi="Cambria" w:cs="Cambria"/>
        </w:rPr>
        <w:t>:</w:t>
      </w:r>
    </w:p>
    <w:p w:rsidR="00C245D5" w:rsidRDefault="00C245D5" w:rsidP="00C245D5">
      <w:pPr>
        <w:spacing w:after="0"/>
        <w:ind w:right="11"/>
        <w:rPr>
          <w:rFonts w:ascii="Cambria" w:eastAsia="Cambria" w:hAnsi="Cambria" w:cs="Cambria"/>
        </w:rPr>
      </w:pPr>
      <w:r>
        <w:rPr>
          <w:rFonts w:ascii="Cambria" w:eastAsia="Cambria" w:hAnsi="Cambria" w:cs="Cambria"/>
        </w:rPr>
        <w:t>Performance is analysed between groups of pupils including:</w:t>
      </w:r>
    </w:p>
    <w:p w:rsidR="00C245D5" w:rsidRDefault="00C245D5" w:rsidP="00C245D5">
      <w:pPr>
        <w:pStyle w:val="ListParagraph"/>
        <w:numPr>
          <w:ilvl w:val="0"/>
          <w:numId w:val="3"/>
        </w:numPr>
        <w:spacing w:after="0"/>
        <w:ind w:right="11"/>
        <w:rPr>
          <w:rFonts w:ascii="Cambria" w:eastAsia="Cambria" w:hAnsi="Cambria" w:cs="Cambria"/>
        </w:rPr>
      </w:pPr>
      <w:r>
        <w:rPr>
          <w:rFonts w:ascii="Cambria" w:eastAsia="Cambria" w:hAnsi="Cambria" w:cs="Cambria"/>
        </w:rPr>
        <w:t>Gender</w:t>
      </w:r>
    </w:p>
    <w:p w:rsidR="00C245D5" w:rsidRDefault="00C245D5" w:rsidP="00C245D5">
      <w:pPr>
        <w:pStyle w:val="ListParagraph"/>
        <w:numPr>
          <w:ilvl w:val="0"/>
          <w:numId w:val="3"/>
        </w:numPr>
        <w:spacing w:after="0"/>
        <w:ind w:right="11"/>
        <w:rPr>
          <w:rFonts w:ascii="Cambria" w:eastAsia="Cambria" w:hAnsi="Cambria" w:cs="Cambria"/>
        </w:rPr>
      </w:pPr>
      <w:r>
        <w:rPr>
          <w:rFonts w:ascii="Cambria" w:eastAsia="Cambria" w:hAnsi="Cambria" w:cs="Cambria"/>
        </w:rPr>
        <w:t>Age within cohorts</w:t>
      </w:r>
    </w:p>
    <w:p w:rsidR="00C245D5" w:rsidRDefault="00C245D5" w:rsidP="00C245D5">
      <w:pPr>
        <w:pStyle w:val="ListParagraph"/>
        <w:numPr>
          <w:ilvl w:val="0"/>
          <w:numId w:val="3"/>
        </w:numPr>
        <w:spacing w:after="0"/>
        <w:ind w:right="11"/>
        <w:rPr>
          <w:rFonts w:ascii="Cambria" w:eastAsia="Cambria" w:hAnsi="Cambria" w:cs="Cambria"/>
        </w:rPr>
      </w:pPr>
      <w:r>
        <w:rPr>
          <w:rFonts w:ascii="Cambria" w:eastAsia="Cambria" w:hAnsi="Cambria" w:cs="Cambria"/>
        </w:rPr>
        <w:t>Pupils with special educational needs and disability (SEND)</w:t>
      </w:r>
    </w:p>
    <w:p w:rsidR="00C245D5" w:rsidRDefault="00C245D5" w:rsidP="00C245D5">
      <w:pPr>
        <w:pStyle w:val="ListParagraph"/>
        <w:numPr>
          <w:ilvl w:val="0"/>
          <w:numId w:val="3"/>
        </w:numPr>
        <w:spacing w:after="0"/>
        <w:ind w:right="11"/>
        <w:rPr>
          <w:rFonts w:ascii="Cambria" w:eastAsia="Cambria" w:hAnsi="Cambria" w:cs="Cambria"/>
        </w:rPr>
      </w:pPr>
      <w:r>
        <w:rPr>
          <w:rFonts w:ascii="Cambria" w:eastAsia="Cambria" w:hAnsi="Cambria" w:cs="Cambria"/>
        </w:rPr>
        <w:t>Pupils eligible for pupil premium grant</w:t>
      </w:r>
    </w:p>
    <w:p w:rsidR="00461DE2" w:rsidRDefault="00461DE2" w:rsidP="00C245D5">
      <w:pPr>
        <w:pStyle w:val="ListParagraph"/>
        <w:numPr>
          <w:ilvl w:val="0"/>
          <w:numId w:val="3"/>
        </w:numPr>
        <w:spacing w:after="0"/>
        <w:ind w:right="11"/>
        <w:rPr>
          <w:rFonts w:ascii="Cambria" w:eastAsia="Cambria" w:hAnsi="Cambria" w:cs="Cambria"/>
        </w:rPr>
      </w:pPr>
      <w:r>
        <w:rPr>
          <w:rFonts w:ascii="Cambria" w:eastAsia="Cambria" w:hAnsi="Cambria" w:cs="Cambria"/>
        </w:rPr>
        <w:t>Pupils with English as an additional language</w:t>
      </w:r>
    </w:p>
    <w:p w:rsidR="00461DE2" w:rsidRDefault="00C245D5" w:rsidP="00461DE2">
      <w:pPr>
        <w:spacing w:after="0"/>
        <w:ind w:right="11"/>
        <w:rPr>
          <w:rFonts w:ascii="Cambria" w:eastAsia="Cambria" w:hAnsi="Cambria" w:cs="Cambria"/>
        </w:rPr>
      </w:pPr>
      <w:r>
        <w:rPr>
          <w:rFonts w:ascii="Cambria" w:eastAsia="Cambria" w:hAnsi="Cambria" w:cs="Cambria"/>
        </w:rPr>
        <w:t>Currently data would not b</w:t>
      </w:r>
      <w:r w:rsidR="00461DE2">
        <w:rPr>
          <w:rFonts w:ascii="Cambria" w:eastAsia="Cambria" w:hAnsi="Cambria" w:cs="Cambria"/>
        </w:rPr>
        <w:t xml:space="preserve">e useful to indicate any racial/cultural </w:t>
      </w:r>
      <w:r>
        <w:rPr>
          <w:rFonts w:ascii="Cambria" w:eastAsia="Cambria" w:hAnsi="Cambria" w:cs="Cambria"/>
        </w:rPr>
        <w:t>differences due to</w:t>
      </w:r>
      <w:r w:rsidR="00461DE2">
        <w:rPr>
          <w:rFonts w:ascii="Cambria" w:eastAsia="Cambria" w:hAnsi="Cambria" w:cs="Cambria"/>
        </w:rPr>
        <w:t xml:space="preserve"> limited </w:t>
      </w:r>
      <w:r>
        <w:rPr>
          <w:rFonts w:ascii="Cambria" w:eastAsia="Cambria" w:hAnsi="Cambria" w:cs="Cambria"/>
        </w:rPr>
        <w:t>numbers of pupils</w:t>
      </w:r>
      <w:r w:rsidR="00461DE2">
        <w:rPr>
          <w:rFonts w:ascii="Cambria" w:eastAsia="Cambria" w:hAnsi="Cambria" w:cs="Cambria"/>
        </w:rPr>
        <w:t>, which makes it statistically insignificant.  All pupils’ progress is reviewed regularly on an individual basis to enable support, challenge or specific teaching to advance learning.  Advice is sought by external agencies to support the school’s work</w:t>
      </w:r>
    </w:p>
    <w:p w:rsidR="00C245D5" w:rsidRDefault="00C245D5" w:rsidP="00C245D5">
      <w:pPr>
        <w:spacing w:after="0"/>
        <w:ind w:right="11"/>
        <w:rPr>
          <w:rFonts w:ascii="Cambria" w:eastAsia="Cambria" w:hAnsi="Cambria" w:cs="Cambria"/>
        </w:rPr>
      </w:pPr>
    </w:p>
    <w:p w:rsidR="00C245D5" w:rsidRDefault="00C245D5" w:rsidP="00C245D5">
      <w:pPr>
        <w:spacing w:after="0"/>
        <w:ind w:right="11"/>
        <w:rPr>
          <w:rFonts w:ascii="Cambria" w:eastAsia="Cambria" w:hAnsi="Cambria" w:cs="Cambria"/>
        </w:rPr>
      </w:pPr>
    </w:p>
    <w:p w:rsidR="00C245D5" w:rsidRDefault="00C245D5" w:rsidP="00C245D5">
      <w:pPr>
        <w:spacing w:after="0"/>
        <w:ind w:right="11"/>
        <w:rPr>
          <w:rFonts w:ascii="Cambria" w:eastAsia="Cambria" w:hAnsi="Cambria" w:cs="Cambria"/>
        </w:rPr>
      </w:pPr>
      <w:r>
        <w:rPr>
          <w:rFonts w:ascii="Cambria" w:eastAsia="Cambria" w:hAnsi="Cambria" w:cs="Cambria"/>
        </w:rPr>
        <w:t>Participation in school activities:</w:t>
      </w:r>
    </w:p>
    <w:p w:rsidR="00C245D5" w:rsidRDefault="00C245D5" w:rsidP="00C245D5">
      <w:pPr>
        <w:spacing w:after="0"/>
        <w:ind w:right="11"/>
        <w:rPr>
          <w:rFonts w:ascii="Cambria" w:eastAsia="Cambria" w:hAnsi="Cambria" w:cs="Cambria"/>
        </w:rPr>
      </w:pPr>
      <w:r>
        <w:rPr>
          <w:rFonts w:ascii="Cambria" w:eastAsia="Cambria" w:hAnsi="Cambria" w:cs="Cambria"/>
        </w:rPr>
        <w:lastRenderedPageBreak/>
        <w:t>All pupils are invited to join after school activities, trips irrespective of needs.  To date, no child has not been permitted to participate in school residential by the school</w:t>
      </w:r>
      <w:r w:rsidR="00461DE2">
        <w:rPr>
          <w:rFonts w:ascii="Cambria" w:eastAsia="Cambria" w:hAnsi="Cambria" w:cs="Cambria"/>
        </w:rPr>
        <w:t>.</w:t>
      </w:r>
    </w:p>
    <w:p w:rsidR="00461DE2" w:rsidRDefault="00461DE2" w:rsidP="00C245D5">
      <w:pPr>
        <w:spacing w:after="0"/>
        <w:ind w:right="11"/>
        <w:rPr>
          <w:rFonts w:ascii="Cambria" w:eastAsia="Cambria" w:hAnsi="Cambria" w:cs="Cambria"/>
        </w:rPr>
      </w:pPr>
    </w:p>
    <w:p w:rsidR="00461DE2" w:rsidRDefault="00461DE2" w:rsidP="00C245D5">
      <w:pPr>
        <w:spacing w:after="0"/>
        <w:ind w:right="11"/>
        <w:rPr>
          <w:rFonts w:ascii="Cambria" w:eastAsia="Cambria" w:hAnsi="Cambria" w:cs="Cambria"/>
        </w:rPr>
      </w:pPr>
      <w:r>
        <w:rPr>
          <w:rFonts w:ascii="Cambria" w:eastAsia="Cambria" w:hAnsi="Cambria" w:cs="Cambria"/>
        </w:rPr>
        <w:t>The school endeavours to broaden children’s experiences especially if gaps are noted.</w:t>
      </w:r>
    </w:p>
    <w:p w:rsidR="00C245D5" w:rsidRDefault="00C245D5" w:rsidP="00C245D5">
      <w:pPr>
        <w:spacing w:after="0"/>
        <w:ind w:right="11"/>
        <w:rPr>
          <w:rFonts w:ascii="Cambria" w:eastAsia="Cambria" w:hAnsi="Cambria" w:cs="Cambria"/>
        </w:rPr>
      </w:pPr>
    </w:p>
    <w:p w:rsidR="00C245D5" w:rsidRDefault="00C245D5" w:rsidP="00C245D5">
      <w:pPr>
        <w:spacing w:after="0"/>
        <w:ind w:right="11"/>
        <w:rPr>
          <w:rFonts w:ascii="Cambria" w:eastAsia="Cambria" w:hAnsi="Cambria" w:cs="Cambria"/>
        </w:rPr>
      </w:pPr>
      <w:r>
        <w:rPr>
          <w:rFonts w:ascii="Cambria" w:eastAsia="Cambria" w:hAnsi="Cambria" w:cs="Cambria"/>
        </w:rPr>
        <w:t>Effective learners:</w:t>
      </w:r>
    </w:p>
    <w:p w:rsidR="00C245D5" w:rsidRDefault="00C245D5" w:rsidP="00C245D5">
      <w:pPr>
        <w:spacing w:after="0"/>
        <w:ind w:right="11"/>
        <w:rPr>
          <w:rFonts w:ascii="Cambria" w:eastAsia="Cambria" w:hAnsi="Cambria" w:cs="Cambria"/>
        </w:rPr>
      </w:pPr>
      <w:r>
        <w:rPr>
          <w:rFonts w:ascii="Cambria" w:eastAsia="Cambria" w:hAnsi="Cambria" w:cs="Cambria"/>
        </w:rPr>
        <w:t xml:space="preserve">The curriculum is differentiated, as needed, to meet individual pupil’s learning needs.  </w:t>
      </w:r>
    </w:p>
    <w:p w:rsidR="00461DE2" w:rsidRDefault="00461DE2" w:rsidP="00C245D5">
      <w:pPr>
        <w:spacing w:after="0"/>
        <w:ind w:right="11"/>
        <w:rPr>
          <w:rFonts w:ascii="Cambria" w:eastAsia="Cambria" w:hAnsi="Cambria" w:cs="Cambria"/>
        </w:rPr>
      </w:pPr>
    </w:p>
    <w:p w:rsidR="00C245D5" w:rsidRDefault="00C245D5" w:rsidP="00C245D5">
      <w:pPr>
        <w:spacing w:after="0"/>
        <w:ind w:right="11"/>
        <w:rPr>
          <w:rFonts w:ascii="Cambria" w:eastAsia="Cambria" w:hAnsi="Cambria" w:cs="Cambria"/>
        </w:rPr>
      </w:pPr>
      <w:r>
        <w:rPr>
          <w:rFonts w:ascii="Cambria" w:eastAsia="Cambria" w:hAnsi="Cambria" w:cs="Cambria"/>
        </w:rPr>
        <w:t>Bullying:</w:t>
      </w:r>
    </w:p>
    <w:p w:rsidR="00C245D5" w:rsidRDefault="00C245D5" w:rsidP="00C245D5">
      <w:pPr>
        <w:spacing w:after="0"/>
        <w:ind w:right="11"/>
        <w:rPr>
          <w:rFonts w:ascii="Cambria" w:eastAsia="Cambria" w:hAnsi="Cambria" w:cs="Cambria"/>
        </w:rPr>
      </w:pPr>
      <w:r>
        <w:rPr>
          <w:rFonts w:ascii="Cambria" w:eastAsia="Cambria" w:hAnsi="Cambria" w:cs="Cambria"/>
        </w:rPr>
        <w:t>The school works, through collective worship; it’s ethos;</w:t>
      </w:r>
      <w:r w:rsidR="00461DE2">
        <w:rPr>
          <w:rFonts w:ascii="Cambria" w:eastAsia="Cambria" w:hAnsi="Cambria" w:cs="Cambria"/>
        </w:rPr>
        <w:t xml:space="preserve"> the</w:t>
      </w:r>
      <w:r>
        <w:rPr>
          <w:rFonts w:ascii="Cambria" w:eastAsia="Cambria" w:hAnsi="Cambria" w:cs="Cambria"/>
        </w:rPr>
        <w:t xml:space="preserve"> explicit and implicit curriculum (including PSE) to foster good relations and avoid prejudice by any stakeholders within the school.</w:t>
      </w:r>
    </w:p>
    <w:p w:rsidR="00461DE2" w:rsidRDefault="00461DE2" w:rsidP="00C245D5">
      <w:pPr>
        <w:spacing w:after="0"/>
        <w:ind w:right="11"/>
        <w:rPr>
          <w:rFonts w:ascii="Cambria" w:eastAsia="Cambria" w:hAnsi="Cambria" w:cs="Cambria"/>
        </w:rPr>
      </w:pPr>
    </w:p>
    <w:p w:rsidR="00461DE2" w:rsidRPr="00C245D5" w:rsidRDefault="00461DE2" w:rsidP="00C245D5">
      <w:pPr>
        <w:spacing w:after="0"/>
        <w:ind w:right="11"/>
        <w:rPr>
          <w:rFonts w:ascii="Cambria" w:eastAsia="Cambria" w:hAnsi="Cambria" w:cs="Cambria"/>
        </w:rPr>
      </w:pPr>
      <w:r>
        <w:rPr>
          <w:rFonts w:ascii="Cambria" w:eastAsia="Cambria" w:hAnsi="Cambria" w:cs="Cambria"/>
        </w:rPr>
        <w:t>‘Love others as self’ is particularly applicable to equality – something the school actively encourages.</w:t>
      </w:r>
    </w:p>
    <w:p w:rsidR="00E0237F" w:rsidRDefault="00E0237F" w:rsidP="00E0237F">
      <w:pPr>
        <w:spacing w:after="0"/>
        <w:ind w:right="11"/>
        <w:jc w:val="center"/>
        <w:rPr>
          <w:rFonts w:ascii="Cambria" w:eastAsia="Cambria" w:hAnsi="Cambria" w:cs="Cambria"/>
        </w:rPr>
      </w:pPr>
    </w:p>
    <w:p w:rsidR="00E0237F" w:rsidRDefault="00E0237F" w:rsidP="00E0237F">
      <w:pPr>
        <w:spacing w:after="0"/>
        <w:ind w:right="11"/>
        <w:jc w:val="center"/>
        <w:rPr>
          <w:rFonts w:ascii="Cambria" w:eastAsia="Cambria" w:hAnsi="Cambria" w:cs="Cambria"/>
        </w:rPr>
      </w:pPr>
    </w:p>
    <w:p w:rsidR="00E0237F" w:rsidRPr="00E0237F" w:rsidRDefault="00E0237F" w:rsidP="00E0237F">
      <w:pPr>
        <w:spacing w:after="0"/>
        <w:ind w:right="11"/>
        <w:jc w:val="center"/>
        <w:rPr>
          <w:rFonts w:ascii="Cambria" w:eastAsia="Cambria" w:hAnsi="Cambria" w:cs="Cambria"/>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rPr>
          <w:rFonts w:ascii="Cambria" w:eastAsia="Cambria" w:hAnsi="Cambria" w:cs="Cambria"/>
          <w:color w:val="17365D"/>
          <w:sz w:val="52"/>
        </w:rPr>
      </w:pPr>
    </w:p>
    <w:p w:rsidR="00E0237F" w:rsidRDefault="00E0237F" w:rsidP="00E0237F">
      <w:pPr>
        <w:spacing w:after="0"/>
        <w:ind w:right="11"/>
        <w:jc w:val="center"/>
      </w:pPr>
    </w:p>
    <w:p w:rsidR="00E0237F" w:rsidRPr="00E0237F" w:rsidRDefault="00E0237F">
      <w:pPr>
        <w:rPr>
          <w:sz w:val="32"/>
          <w:szCs w:val="32"/>
        </w:rPr>
      </w:pPr>
    </w:p>
    <w:sectPr w:rsidR="00E0237F" w:rsidRPr="00E02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2D85"/>
    <w:multiLevelType w:val="hybridMultilevel"/>
    <w:tmpl w:val="902E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A79D7"/>
    <w:multiLevelType w:val="hybridMultilevel"/>
    <w:tmpl w:val="1B8C2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4B6F57"/>
    <w:multiLevelType w:val="hybridMultilevel"/>
    <w:tmpl w:val="221A8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7F"/>
    <w:rsid w:val="00461DE2"/>
    <w:rsid w:val="004932A9"/>
    <w:rsid w:val="00C245D5"/>
    <w:rsid w:val="00E0237F"/>
    <w:rsid w:val="00F2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2727"/>
  <w15:chartTrackingRefBased/>
  <w15:docId w15:val="{45C0891B-FB62-4310-8D36-1050534D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Mullett</dc:creator>
  <cp:keywords/>
  <dc:description/>
  <cp:lastModifiedBy>Fiona Mullett</cp:lastModifiedBy>
  <cp:revision>2</cp:revision>
  <dcterms:created xsi:type="dcterms:W3CDTF">2019-08-04T05:49:00Z</dcterms:created>
  <dcterms:modified xsi:type="dcterms:W3CDTF">2019-08-04T05:49:00Z</dcterms:modified>
</cp:coreProperties>
</file>